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《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Hans"/>
        </w:rPr>
        <w:t>中华人民共和国外商投资法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》</w:t>
      </w:r>
      <w:r>
        <w:rPr>
          <w:rFonts w:hint="eastAsia" w:ascii="宋体" w:hAnsi="宋体" w:eastAsia="宋体" w:cs="宋体"/>
          <w:b/>
          <w:bCs/>
          <w:sz w:val="36"/>
          <w:szCs w:val="36"/>
          <w:lang w:eastAsia="zh-Hans"/>
        </w:rPr>
        <w:t>《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Hans"/>
        </w:rPr>
        <w:t>外商投资信息报告管办法》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涉及处罚事项裁量基准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3"/>
        <w:gridCol w:w="1112"/>
        <w:gridCol w:w="1073"/>
        <w:gridCol w:w="5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  <w:vMerge w:val="restart"/>
          </w:tcPr>
          <w:p>
            <w:pPr>
              <w:rPr>
                <w:rFonts w:hint="default"/>
              </w:rPr>
            </w:pPr>
            <w:r>
              <w:rPr>
                <w:rFonts w:hint="default"/>
              </w:rPr>
              <w:t>87</w:t>
            </w:r>
          </w:p>
        </w:tc>
        <w:tc>
          <w:tcPr>
            <w:tcW w:w="1112" w:type="dxa"/>
          </w:tcPr>
          <w:p>
            <w:r>
              <w:rPr>
                <w:rFonts w:hint="eastAsia"/>
              </w:rPr>
              <w:t>违法行为</w:t>
            </w:r>
          </w:p>
        </w:tc>
        <w:tc>
          <w:tcPr>
            <w:tcW w:w="6777" w:type="dxa"/>
            <w:gridSpan w:val="2"/>
          </w:tcPr>
          <w:p>
            <w:pPr>
              <w:rPr>
                <w:rFonts w:hint="default" w:eastAsiaTheme="minorEastAsia"/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外国投资者、外商投资企业未按要求报送投资信息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  <w:vMerge w:val="continue"/>
          </w:tcPr>
          <w:p/>
        </w:tc>
        <w:tc>
          <w:tcPr>
            <w:tcW w:w="1112" w:type="dxa"/>
          </w:tcPr>
          <w:p>
            <w:r>
              <w:rPr>
                <w:rFonts w:hint="eastAsia"/>
              </w:rPr>
              <w:t>法律依据</w:t>
            </w:r>
          </w:p>
        </w:tc>
        <w:tc>
          <w:tcPr>
            <w:tcW w:w="6777" w:type="dxa"/>
            <w:gridSpan w:val="2"/>
          </w:tcPr>
          <w:p>
            <w:pPr>
              <w:rPr>
                <w:rFonts w:hint="eastAsia"/>
                <w:b/>
                <w:bCs/>
                <w:lang w:val="en-US" w:eastAsia="zh-Hans"/>
              </w:rPr>
            </w:pPr>
            <w:r>
              <w:rPr>
                <w:rFonts w:hint="eastAsia"/>
                <w:b/>
                <w:bCs/>
                <w:lang w:eastAsia="zh-Hans"/>
              </w:rPr>
              <w:t>【</w:t>
            </w:r>
            <w:r>
              <w:rPr>
                <w:rFonts w:hint="eastAsia"/>
                <w:b/>
                <w:bCs/>
                <w:lang w:val="en-US" w:eastAsia="zh-Hans"/>
              </w:rPr>
              <w:t>法律】《中华人民共和国外商投资法》（主席令第26号）</w:t>
            </w:r>
          </w:p>
          <w:p>
            <w:pPr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b/>
                <w:bCs/>
                <w:lang w:val="en-US" w:eastAsia="zh-Hans"/>
              </w:rPr>
              <w:t>第三十七条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外国投资者、外商投资企业违反本法规定，未按照外商投资信息报告制度的要求报送投资信息的，由商务主管部门责令限期改正；逾期不改正的，处十万元以上五十万元以下的罚款。</w:t>
            </w:r>
          </w:p>
          <w:p>
            <w:pPr>
              <w:rPr>
                <w:rFonts w:hint="default"/>
                <w:b/>
                <w:bCs/>
                <w:lang w:val="en-US" w:eastAsia="zh-Hans"/>
              </w:rPr>
            </w:pPr>
            <w:r>
              <w:rPr>
                <w:rFonts w:hint="eastAsia"/>
                <w:b/>
                <w:bCs/>
                <w:lang w:val="en-US" w:eastAsia="zh-Hans"/>
              </w:rPr>
              <w:t>【部门规章】《外商投资信息报告办法》（商务部、市场监管总局令2019年第2号）</w:t>
            </w:r>
          </w:p>
          <w:p>
            <w:pPr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b/>
                <w:bCs/>
                <w:lang w:val="en-US" w:eastAsia="zh-Hans"/>
              </w:rPr>
              <w:t>第二十五条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外国投资者或者外商投资企业未按照本办法要求报送投资信息，且在商务主管部门通知后未按照本办法第十九条予以补报或更正的，由商务主管部门责令其于20个工作日内改正；逾期不改正的，处十万元以上三十万元以下罚款；逾期不改正且存在以下情形的，处三十万元以上五十万元以下罚款：</w:t>
            </w:r>
          </w:p>
          <w:p>
            <w:pPr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（一）外国投资者或者外商投资企业故意逃避履行信息报告义务，或在进行信息报告时隐瞒真实情况、提供误导性或虚假信息；</w:t>
            </w:r>
          </w:p>
          <w:p>
            <w:pPr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（二）外国投资者或者外商投资企业就所属行业、是否涉及外商投资准入特别管理措施、企业投资者及其实际控制人等重要信息报送错误；</w:t>
            </w:r>
          </w:p>
          <w:p>
            <w:pPr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（三）外国投资者或者外商投资企业未按照本办法要求报送投资信息，并因此受到行政处罚的，两年内再次违反本办法有关要求；</w:t>
            </w:r>
          </w:p>
          <w:p>
            <w:pPr>
              <w:rPr>
                <w:rFonts w:hint="default"/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（四）商务主管部门认定的其他严重情形。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  <w:vMerge w:val="continue"/>
          </w:tcPr>
          <w:p/>
        </w:tc>
        <w:tc>
          <w:tcPr>
            <w:tcW w:w="1112" w:type="dxa"/>
          </w:tcPr>
          <w:p>
            <w:pPr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处罚种类及幅度</w:t>
            </w:r>
          </w:p>
        </w:tc>
        <w:tc>
          <w:tcPr>
            <w:tcW w:w="6777" w:type="dxa"/>
            <w:gridSpan w:val="2"/>
          </w:tcPr>
          <w:p>
            <w:pPr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处十万元以上三十万元以下罚款；</w:t>
            </w:r>
            <w:r>
              <w:rPr>
                <w:rFonts w:hint="eastAsia"/>
                <w:color w:val="0000FF"/>
                <w:lang w:val="en-US" w:eastAsia="zh-Hans"/>
              </w:rPr>
              <w:t>逾期不改正且存在法定情形的，处三十万元以上五十万元以下罚款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  <w:vMerge w:val="continue"/>
          </w:tcPr>
          <w:p/>
        </w:tc>
        <w:tc>
          <w:tcPr>
            <w:tcW w:w="1112" w:type="dxa"/>
            <w:vMerge w:val="restart"/>
          </w:tcPr>
          <w:p>
            <w:r>
              <w:rPr>
                <w:rFonts w:hint="eastAsia"/>
              </w:rPr>
              <w:t>裁量阶次具体标准</w:t>
            </w:r>
          </w:p>
        </w:tc>
        <w:tc>
          <w:tcPr>
            <w:tcW w:w="1073" w:type="dxa"/>
          </w:tcPr>
          <w:p>
            <w:r>
              <w:rPr>
                <w:rFonts w:hint="eastAsia"/>
              </w:rPr>
              <w:t>从轻</w:t>
            </w:r>
          </w:p>
        </w:tc>
        <w:tc>
          <w:tcPr>
            <w:tcW w:w="5704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处</w:t>
            </w:r>
            <w:r>
              <w:rPr>
                <w:rFonts w:hint="default"/>
                <w:lang w:eastAsia="zh-Hans"/>
              </w:rPr>
              <w:t>10</w:t>
            </w:r>
            <w:r>
              <w:rPr>
                <w:rFonts w:hint="eastAsia"/>
                <w:lang w:val="en-US" w:eastAsia="zh-Hans"/>
              </w:rPr>
              <w:t>万元</w:t>
            </w:r>
            <w:r>
              <w:rPr>
                <w:rFonts w:hint="default"/>
                <w:lang w:eastAsia="zh-Hans"/>
              </w:rPr>
              <w:t>-16</w:t>
            </w:r>
            <w:r>
              <w:rPr>
                <w:rFonts w:hint="eastAsia"/>
                <w:lang w:val="en-US" w:eastAsia="zh-Hans"/>
              </w:rPr>
              <w:t>万元罚款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  <w:vMerge w:val="continue"/>
          </w:tcPr>
          <w:p/>
        </w:tc>
        <w:tc>
          <w:tcPr>
            <w:tcW w:w="1112" w:type="dxa"/>
            <w:vMerge w:val="continue"/>
          </w:tcPr>
          <w:p/>
        </w:tc>
        <w:tc>
          <w:tcPr>
            <w:tcW w:w="1073" w:type="dxa"/>
          </w:tcPr>
          <w:p>
            <w:r>
              <w:rPr>
                <w:rFonts w:hint="eastAsia"/>
              </w:rPr>
              <w:t>一般</w:t>
            </w:r>
          </w:p>
        </w:tc>
        <w:tc>
          <w:tcPr>
            <w:tcW w:w="5704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处</w:t>
            </w:r>
            <w:r>
              <w:rPr>
                <w:rFonts w:hint="default"/>
                <w:lang w:eastAsia="zh-Hans"/>
              </w:rPr>
              <w:t>16</w:t>
            </w:r>
            <w:r>
              <w:rPr>
                <w:rFonts w:hint="eastAsia"/>
                <w:lang w:val="en-US" w:eastAsia="zh-Hans"/>
              </w:rPr>
              <w:t>万元</w:t>
            </w:r>
            <w:r>
              <w:rPr>
                <w:rFonts w:hint="default"/>
                <w:lang w:eastAsia="zh-Hans"/>
              </w:rPr>
              <w:t>-24</w:t>
            </w:r>
            <w:r>
              <w:rPr>
                <w:rFonts w:hint="eastAsia"/>
                <w:lang w:val="en-US" w:eastAsia="zh-Hans"/>
              </w:rPr>
              <w:t>万元罚款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  <w:vMerge w:val="continue"/>
          </w:tcPr>
          <w:p/>
        </w:tc>
        <w:tc>
          <w:tcPr>
            <w:tcW w:w="1112" w:type="dxa"/>
            <w:vMerge w:val="continue"/>
          </w:tcPr>
          <w:p/>
        </w:tc>
        <w:tc>
          <w:tcPr>
            <w:tcW w:w="1073" w:type="dxa"/>
          </w:tcPr>
          <w:p>
            <w:r>
              <w:rPr>
                <w:rFonts w:hint="eastAsia"/>
              </w:rPr>
              <w:t>从重</w:t>
            </w:r>
          </w:p>
        </w:tc>
        <w:tc>
          <w:tcPr>
            <w:tcW w:w="5704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处</w:t>
            </w:r>
            <w:r>
              <w:rPr>
                <w:rFonts w:hint="default"/>
                <w:lang w:eastAsia="zh-Hans"/>
              </w:rPr>
              <w:t>24</w:t>
            </w:r>
            <w:r>
              <w:rPr>
                <w:rFonts w:hint="eastAsia"/>
                <w:lang w:val="en-US" w:eastAsia="zh-Hans"/>
              </w:rPr>
              <w:t>万元</w:t>
            </w:r>
            <w:r>
              <w:rPr>
                <w:rFonts w:hint="default"/>
                <w:lang w:eastAsia="zh-Hans"/>
              </w:rPr>
              <w:t>-30</w:t>
            </w:r>
            <w:r>
              <w:rPr>
                <w:rFonts w:hint="eastAsia"/>
                <w:lang w:val="en-US" w:eastAsia="zh-Hans"/>
              </w:rPr>
              <w:t>万元罚款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dxa"/>
            <w:vMerge w:val="continue"/>
          </w:tcPr>
          <w:p/>
        </w:tc>
        <w:tc>
          <w:tcPr>
            <w:tcW w:w="1112" w:type="dxa"/>
            <w:vMerge w:val="restart"/>
          </w:tcPr>
          <w:p>
            <w:r>
              <w:rPr>
                <w:rFonts w:hint="eastAsia"/>
              </w:rPr>
              <w:t>适用条件</w:t>
            </w:r>
          </w:p>
        </w:tc>
        <w:tc>
          <w:tcPr>
            <w:tcW w:w="1073" w:type="dxa"/>
          </w:tcPr>
          <w:p>
            <w:r>
              <w:rPr>
                <w:rFonts w:hint="eastAsia"/>
                <w:b/>
                <w:bCs/>
                <w:lang w:eastAsia="zh-Hans"/>
              </w:rPr>
              <w:t>不予处罚</w:t>
            </w:r>
          </w:p>
        </w:tc>
        <w:tc>
          <w:tcPr>
            <w:tcW w:w="5704" w:type="dxa"/>
          </w:tcPr>
          <w:p>
            <w:r>
              <w:rPr>
                <w:rFonts w:hint="eastAsia"/>
              </w:rPr>
              <w:t>符合《行政处罚法》及《基准制度》</w:t>
            </w:r>
            <w:r>
              <w:rPr>
                <w:rFonts w:hint="eastAsia"/>
                <w:lang w:val="en-US" w:eastAsia="zh-Hans"/>
              </w:rPr>
              <w:t>规定应当不予处罚</w:t>
            </w:r>
            <w:r>
              <w:rPr>
                <w:rFonts w:hint="eastAsia"/>
              </w:rPr>
              <w:t>情形的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633" w:type="dxa"/>
            <w:vMerge w:val="continue"/>
          </w:tcPr>
          <w:p/>
        </w:tc>
        <w:tc>
          <w:tcPr>
            <w:tcW w:w="1112" w:type="dxa"/>
            <w:vMerge w:val="continue"/>
          </w:tcPr>
          <w:p/>
        </w:tc>
        <w:tc>
          <w:tcPr>
            <w:tcW w:w="1073" w:type="dxa"/>
          </w:tcPr>
          <w:p>
            <w:pPr>
              <w:rPr>
                <w:lang w:eastAsia="zh-Hans"/>
              </w:rPr>
            </w:pPr>
            <w:r>
              <w:rPr>
                <w:rFonts w:hint="eastAsia"/>
                <w:b/>
                <w:bCs/>
              </w:rPr>
              <w:t>从轻或者减轻</w:t>
            </w:r>
            <w:r>
              <w:rPr>
                <w:rFonts w:hint="eastAsia"/>
                <w:b/>
                <w:bCs/>
                <w:lang w:eastAsia="zh-Hans"/>
              </w:rPr>
              <w:t>处罚</w:t>
            </w:r>
          </w:p>
        </w:tc>
        <w:tc>
          <w:tcPr>
            <w:tcW w:w="5704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Hans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Hans" w:bidi="ar-SA"/>
              </w:rPr>
              <w:t>1.</w:t>
            </w:r>
            <w:r>
              <w:rPr>
                <w:rFonts w:hint="eastAsia"/>
                <w:lang w:val="en-US" w:eastAsia="zh-Hans"/>
              </w:rPr>
              <w:t>危害后果较轻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Hans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Hans" w:bidi="ar-SA"/>
              </w:rPr>
              <w:t>2.</w:t>
            </w:r>
            <w:r>
              <w:rPr>
                <w:rFonts w:hint="eastAsia"/>
                <w:lang w:val="en-US" w:eastAsia="zh-Hans"/>
              </w:rPr>
              <w:t>社会影响较小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Hans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Hans" w:bidi="ar-SA"/>
              </w:rPr>
              <w:t>3.</w:t>
            </w:r>
            <w:r>
              <w:rPr>
                <w:rFonts w:hint="eastAsia"/>
                <w:lang w:val="en-US" w:eastAsia="zh-Hans"/>
              </w:rPr>
              <w:t>其他情形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dxa"/>
            <w:vMerge w:val="continue"/>
          </w:tcPr>
          <w:p/>
        </w:tc>
        <w:tc>
          <w:tcPr>
            <w:tcW w:w="1112" w:type="dxa"/>
            <w:vMerge w:val="continue"/>
          </w:tcPr>
          <w:p/>
        </w:tc>
        <w:tc>
          <w:tcPr>
            <w:tcW w:w="1073" w:type="dxa"/>
          </w:tcPr>
          <w:p>
            <w:pPr>
              <w:rPr>
                <w:lang w:eastAsia="zh-Hans"/>
              </w:rPr>
            </w:pPr>
            <w:r>
              <w:rPr>
                <w:rFonts w:hint="eastAsia"/>
                <w:b/>
                <w:bCs/>
                <w:lang w:eastAsia="zh-Hans"/>
              </w:rPr>
              <w:t>从重处罚</w:t>
            </w:r>
          </w:p>
        </w:tc>
        <w:tc>
          <w:tcPr>
            <w:tcW w:w="5704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Hans"/>
              </w:rPr>
            </w:pPr>
            <w:r>
              <w:rPr>
                <w:rFonts w:hint="default"/>
                <w:lang w:eastAsia="zh-Hans"/>
              </w:rPr>
              <w:t>1.</w:t>
            </w:r>
            <w:r>
              <w:rPr>
                <w:rFonts w:hint="eastAsia"/>
                <w:lang w:val="en-US" w:eastAsia="zh-Hans"/>
              </w:rPr>
              <w:t>危害后果严重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Hans"/>
              </w:rPr>
            </w:pPr>
            <w:r>
              <w:rPr>
                <w:rFonts w:hint="default"/>
                <w:lang w:eastAsia="zh-Hans"/>
              </w:rPr>
              <w:t>2.</w:t>
            </w:r>
            <w:r>
              <w:rPr>
                <w:rFonts w:hint="eastAsia"/>
                <w:lang w:val="en-US" w:eastAsia="zh-Hans"/>
              </w:rPr>
              <w:t>造成较大社会影响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Hans"/>
              </w:rPr>
            </w:pPr>
            <w:r>
              <w:rPr>
                <w:rFonts w:hint="default"/>
                <w:lang w:eastAsia="zh-Hans"/>
              </w:rPr>
              <w:t>3.</w:t>
            </w:r>
            <w:r>
              <w:rPr>
                <w:rFonts w:hint="eastAsia"/>
                <w:lang w:val="en-US" w:eastAsia="zh-Hans"/>
              </w:rPr>
              <w:t>其他情形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  <w:vMerge w:val="continue"/>
          </w:tcPr>
          <w:p/>
        </w:tc>
        <w:tc>
          <w:tcPr>
            <w:tcW w:w="1112" w:type="dxa"/>
          </w:tcPr>
          <w:p>
            <w:r>
              <w:rPr>
                <w:rFonts w:hint="eastAsia"/>
              </w:rPr>
              <w:t>备注</w:t>
            </w:r>
          </w:p>
        </w:tc>
        <w:tc>
          <w:tcPr>
            <w:tcW w:w="6777" w:type="dxa"/>
            <w:gridSpan w:val="2"/>
          </w:tcPr>
          <w:p>
            <w:pPr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由商务主管部门责令其于20个工作日内改正</w:t>
            </w:r>
            <w:r>
              <w:rPr>
                <w:rFonts w:hint="eastAsia"/>
                <w:lang w:val="en-US" w:eastAsia="zh-CN"/>
              </w:rPr>
              <w:t>，</w:t>
            </w:r>
            <w:r>
              <w:rPr>
                <w:rFonts w:hint="eastAsia"/>
                <w:lang w:val="en-US" w:eastAsia="zh-Hans"/>
              </w:rPr>
              <w:t>逾期不改正且存在以下情形的，处三十万元以上五十万元以下罚款：</w:t>
            </w:r>
          </w:p>
          <w:p>
            <w:pPr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（一）外国投资者或者外商投资企业故意逃避履行信息报告义务，或在进行信息报告时隐瞒真实情况、提供误导性或虚假信息；</w:t>
            </w:r>
          </w:p>
          <w:p>
            <w:pPr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（二）外国投资者或者外商投资企业就所属行业、是否涉及外商投资准入特别管理措施、企业投资者及其实际控制人等重要信息报送错误；</w:t>
            </w:r>
          </w:p>
          <w:p>
            <w:pPr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（三）外国投资者或者外商投资企业未按照本办法要求报送投资信息，并因此受到行政处罚的，两年内再次违反本办法有关要求；</w:t>
            </w:r>
          </w:p>
          <w:p>
            <w:r>
              <w:rPr>
                <w:rFonts w:hint="eastAsia"/>
                <w:lang w:val="en-US" w:eastAsia="zh-Hans"/>
              </w:rPr>
              <w:t>（四）商务主管部门认定的其他严重情形。</w:t>
            </w:r>
          </w:p>
        </w:tc>
      </w:tr>
    </w:tbl>
    <w:p>
      <w:pPr>
        <w:rPr>
          <w:lang w:eastAsia="zh-Hans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宋体S-超大字符集(SIP)">
    <w:panose1 w:val="03000509000000000000"/>
    <w:charset w:val="86"/>
    <w:family w:val="auto"/>
    <w:pitch w:val="default"/>
    <w:sig w:usb0="00000003" w:usb1="0A0E0800" w:usb2="0000000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lZGQyNmVmOTQxMTk1YzZlNGNhZGIwZjRjZGRiNjcifQ=="/>
  </w:docVars>
  <w:rsids>
    <w:rsidRoot w:val="ECBB7D17"/>
    <w:rsid w:val="00085485"/>
    <w:rsid w:val="00456CEA"/>
    <w:rsid w:val="01E9668D"/>
    <w:rsid w:val="2D102320"/>
    <w:rsid w:val="31FB345B"/>
    <w:rsid w:val="377FA877"/>
    <w:rsid w:val="37BF42B7"/>
    <w:rsid w:val="5A772EFD"/>
    <w:rsid w:val="65415EF1"/>
    <w:rsid w:val="73246C0B"/>
    <w:rsid w:val="77F9D0C6"/>
    <w:rsid w:val="BC8F0C12"/>
    <w:rsid w:val="BF3B46F5"/>
    <w:rsid w:val="BFEBA099"/>
    <w:rsid w:val="DBBFE4BF"/>
    <w:rsid w:val="ECBB7D17"/>
    <w:rsid w:val="F71DAEC0"/>
    <w:rsid w:val="F7EB68A3"/>
    <w:rsid w:val="FDF31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Normal (Web)"/>
    <w:basedOn w:val="1"/>
    <w:qFormat/>
    <w:uiPriority w:val="0"/>
    <w:rPr>
      <w:sz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annotation reference"/>
    <w:basedOn w:val="6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971</Words>
  <Characters>993</Characters>
  <Lines>4</Lines>
  <Paragraphs>1</Paragraphs>
  <TotalTime>4</TotalTime>
  <ScaleCrop>false</ScaleCrop>
  <LinksUpToDate>false</LinksUpToDate>
  <CharactersWithSpaces>995</CharactersWithSpaces>
  <Application>WPS Office_11.8.2.11653_F1E327BC-269C-435d-A152-05C5408002CA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2023-07-01T05:39:00Z</dcterms:created>
  <dc:creator>C&amp;T PARTNERS</dc:creator>
  <cp:lastModifiedBy>kylin</cp:lastModifiedBy>
  <dcterms:modified xsi:type="dcterms:W3CDTF">2023-09-11T09:53:30Z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2052-11.8.2.11653</vt:lpwstr>
  </property>
  <property fmtid="{D5CDD505-2E9C-101B-9397-08002B2CF9AE}" pid="3" name="ICV">
    <vt:lpwstr>39715AC9DA0C3CD8BD5BEB64A7AF093C</vt:lpwstr>
  </property>
</Properties>
</file>