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《商品现货市场交易特别规定（试行）》</w:t>
      </w:r>
    </w:p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涉及处罚事项裁量基准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1112"/>
        <w:gridCol w:w="1073"/>
        <w:gridCol w:w="5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restart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112" w:type="dxa"/>
          </w:tcPr>
          <w:p>
            <w:r>
              <w:rPr>
                <w:rFonts w:hint="eastAsia"/>
              </w:rPr>
              <w:t>违法行为</w:t>
            </w:r>
          </w:p>
        </w:tc>
        <w:tc>
          <w:tcPr>
            <w:tcW w:w="6777" w:type="dxa"/>
            <w:gridSpan w:val="2"/>
          </w:tcPr>
          <w:p>
            <w:r>
              <w:t>市场经营者未履行提供交易场所、设施、服务，建立健全并合理公示业务规则与规章制度，制定应急预案，加强资金监管，完善信息发布制度，保证信息完整安全等方面义务或者违法侵占挪用资金、发布虚假信息、篡改、销毁相关信息资料等行为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12" w:type="dxa"/>
          </w:tcPr>
          <w:p>
            <w:r>
              <w:rPr>
                <w:rFonts w:hint="eastAsia"/>
              </w:rPr>
              <w:t>法律依据</w:t>
            </w:r>
          </w:p>
        </w:tc>
        <w:tc>
          <w:tcPr>
            <w:tcW w:w="6777" w:type="dxa"/>
            <w:gridSpan w:val="2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【</w:t>
            </w:r>
            <w:r>
              <w:rPr>
                <w:rFonts w:hint="eastAsia"/>
                <w:b/>
                <w:bCs/>
                <w:lang w:eastAsia="zh-Hans"/>
              </w:rPr>
              <w:t>部门</w:t>
            </w:r>
            <w:r>
              <w:rPr>
                <w:b/>
                <w:bCs/>
              </w:rPr>
              <w:t>规章】《商品现货市场交易特别规定（试行）》（商务部、中国人民银行、证券监督管理委员会令2013第3号）</w:t>
            </w:r>
          </w:p>
          <w:p>
            <w:r>
              <w:rPr>
                <w:b/>
                <w:bCs/>
              </w:rPr>
              <w:t>第十一条</w:t>
            </w:r>
            <w:r>
              <w:t xml:space="preserve"> 市场经营者应当履行下列职责： </w:t>
            </w:r>
          </w:p>
          <w:p>
            <w:r>
              <w:t>（一）提供交易的场所、设施及相关服务；</w:t>
            </w:r>
          </w:p>
          <w:p>
            <w:r>
              <w:t>（二）按照本规定确定的交易方式和交易对象，建立健全交易、交收、结算、仓储、信息发布、风险控制、市场管理等业务规则与各项规章制度；</w:t>
            </w:r>
          </w:p>
          <w:p>
            <w:r>
              <w:t>（三）法律法规规定的其他职责。</w:t>
            </w:r>
          </w:p>
          <w:p>
            <w:r>
              <w:rPr>
                <w:b/>
                <w:bCs/>
              </w:rPr>
              <w:t>第十二条</w:t>
            </w:r>
            <w:r>
              <w:t xml:space="preserve"> 市场经营者应当公开业务规则和规章制度。制定、修改和变更业务规则和规章制度，应当在合理时间内提前公示。</w:t>
            </w:r>
          </w:p>
          <w:p>
            <w:r>
              <w:rPr>
                <w:b/>
                <w:bCs/>
              </w:rPr>
              <w:t>第十三条</w:t>
            </w:r>
            <w:r>
              <w:t xml:space="preserve"> 商品现货市场应当制定应急预案。出现异常情况时，应当及时采取有效措施，防止出现市场风险。</w:t>
            </w:r>
          </w:p>
          <w:p>
            <w:r>
              <w:rPr>
                <w:b/>
                <w:bCs/>
              </w:rPr>
              <w:t>第十四条</w:t>
            </w:r>
            <w:r>
              <w:t xml:space="preserve"> 市场经营者应当采取合同约束、系统控制、强化内部管理等措施，加强资金管理力度。市场经营者不得以任何形式侵占或挪用交易者的资金。</w:t>
            </w:r>
          </w:p>
          <w:p>
            <w:r>
              <w:rPr>
                <w:b/>
                <w:bCs/>
              </w:rPr>
              <w:t>第十七条</w:t>
            </w:r>
            <w:r>
              <w:t xml:space="preserve"> 市场经营者应当建立完善商品信息发布制度，公布交易商品的名称、数量、质量、规格、产地等相关信息，保证信息的真实、准确，不得发布虚假信息。</w:t>
            </w:r>
          </w:p>
          <w:p>
            <w:r>
              <w:rPr>
                <w:b/>
                <w:bCs/>
              </w:rPr>
              <w:t>第十八条</w:t>
            </w:r>
            <w:r>
              <w:t xml:space="preserve"> 采用现代信息化技术开展交易活动的，市场经营者应当实时记录商品仓储、交易、交收、结算、支付等相关信息，采取措施保证相关信息的完整和安全，并保存5 年以上。</w:t>
            </w:r>
          </w:p>
          <w:p>
            <w:r>
              <w:rPr>
                <w:b/>
                <w:bCs/>
              </w:rPr>
              <w:t>第十九条</w:t>
            </w:r>
            <w:r>
              <w:t xml:space="preserve"> 市场经营者不得擅自篡改、销毁相关信息和资料。</w:t>
            </w:r>
          </w:p>
          <w:p>
            <w:r>
              <w:rPr>
                <w:b/>
                <w:bCs/>
              </w:rPr>
              <w:t>第二十一条</w:t>
            </w:r>
            <w:r>
              <w:t xml:space="preserve"> 市场经营者应当根据相关部门的要求报送有关经营信息与资料。</w:t>
            </w:r>
          </w:p>
          <w:p>
            <w:r>
              <w:rPr>
                <w:b/>
                <w:bCs/>
              </w:rPr>
              <w:t>第二十三条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市场经营者违反第十一条、第十二条、第十三条、第十四条、第十七条、第十八条、第十九条、第二十一条规定，由县级以上商务主管部门会同有关部门责令改正。逾期不改的，处一万元以上三万元以下罚款。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12" w:type="dxa"/>
          </w:tcPr>
          <w:p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处罚种类及幅度</w:t>
            </w:r>
          </w:p>
        </w:tc>
        <w:tc>
          <w:tcPr>
            <w:tcW w:w="6777" w:type="dxa"/>
            <w:gridSpan w:val="2"/>
          </w:tcPr>
          <w:p>
            <w:r>
              <w:t>处1万元以上3万元以下罚款。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12" w:type="dxa"/>
            <w:vMerge w:val="restart"/>
          </w:tcPr>
          <w:p>
            <w:r>
              <w:rPr>
                <w:rFonts w:hint="eastAsia"/>
              </w:rPr>
              <w:t>裁量阶次具体标准</w:t>
            </w:r>
          </w:p>
        </w:tc>
        <w:tc>
          <w:tcPr>
            <w:tcW w:w="1073" w:type="dxa"/>
          </w:tcPr>
          <w:p>
            <w:r>
              <w:rPr>
                <w:rFonts w:hint="eastAsia"/>
              </w:rPr>
              <w:t>从轻</w:t>
            </w:r>
          </w:p>
        </w:tc>
        <w:tc>
          <w:tcPr>
            <w:tcW w:w="5704" w:type="dxa"/>
          </w:tcPr>
          <w:p>
            <w:r>
              <w:rPr>
                <w:rFonts w:hint="eastAsia"/>
              </w:rPr>
              <w:t>处1万</w:t>
            </w:r>
            <w:r>
              <w:rPr>
                <w:rFonts w:hint="eastAsia"/>
                <w:lang w:val="en-US" w:eastAsia="zh-Hans"/>
              </w:rPr>
              <w:t>元</w:t>
            </w:r>
            <w:r>
              <w:rPr>
                <w:rFonts w:hint="default"/>
                <w:lang w:eastAsia="zh-Hans"/>
              </w:rPr>
              <w:t>-1.6</w:t>
            </w:r>
            <w:r>
              <w:rPr>
                <w:rFonts w:hint="eastAsia"/>
                <w:lang w:val="en-US" w:eastAsia="zh-Hans"/>
              </w:rPr>
              <w:t>万元</w:t>
            </w:r>
            <w:r>
              <w:rPr>
                <w:rFonts w:hint="eastAsia"/>
              </w:rPr>
              <w:t>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12" w:type="dxa"/>
            <w:vMerge w:val="continue"/>
          </w:tcPr>
          <w:p/>
        </w:tc>
        <w:tc>
          <w:tcPr>
            <w:tcW w:w="1073" w:type="dxa"/>
          </w:tcPr>
          <w:p>
            <w:r>
              <w:rPr>
                <w:rFonts w:hint="eastAsia"/>
              </w:rPr>
              <w:t>一般</w:t>
            </w:r>
          </w:p>
        </w:tc>
        <w:tc>
          <w:tcPr>
            <w:tcW w:w="5704" w:type="dxa"/>
          </w:tcPr>
          <w:p>
            <w:r>
              <w:rPr>
                <w:rFonts w:hint="eastAsia"/>
              </w:rPr>
              <w:t>处</w:t>
            </w:r>
            <w:r>
              <w:rPr>
                <w:rFonts w:hint="default"/>
              </w:rPr>
              <w:t>1.6</w:t>
            </w:r>
            <w:r>
              <w:rPr>
                <w:rFonts w:hint="eastAsia"/>
                <w:lang w:val="en-US" w:eastAsia="zh-Hans"/>
              </w:rPr>
              <w:t>万元</w:t>
            </w:r>
            <w:r>
              <w:rPr>
                <w:rFonts w:hint="default"/>
                <w:lang w:eastAsia="zh-Hans"/>
              </w:rPr>
              <w:t>-2.4</w:t>
            </w:r>
            <w:r>
              <w:rPr>
                <w:rFonts w:hint="eastAsia"/>
                <w:lang w:val="en-US" w:eastAsia="zh-Hans"/>
              </w:rPr>
              <w:t>万元</w:t>
            </w:r>
            <w:r>
              <w:rPr>
                <w:rFonts w:hint="eastAsia"/>
              </w:rPr>
              <w:t>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12" w:type="dxa"/>
            <w:vMerge w:val="continue"/>
          </w:tcPr>
          <w:p/>
        </w:tc>
        <w:tc>
          <w:tcPr>
            <w:tcW w:w="1073" w:type="dxa"/>
          </w:tcPr>
          <w:p>
            <w:r>
              <w:rPr>
                <w:rFonts w:hint="eastAsia"/>
              </w:rPr>
              <w:t>从重</w:t>
            </w:r>
          </w:p>
        </w:tc>
        <w:tc>
          <w:tcPr>
            <w:tcW w:w="5704" w:type="dxa"/>
          </w:tcPr>
          <w:p>
            <w:r>
              <w:rPr>
                <w:rFonts w:hint="eastAsia"/>
              </w:rPr>
              <w:t>处</w:t>
            </w:r>
            <w:r>
              <w:rPr>
                <w:rFonts w:hint="default"/>
              </w:rPr>
              <w:t>2.4</w:t>
            </w:r>
            <w:r>
              <w:rPr>
                <w:rFonts w:hint="eastAsia"/>
                <w:lang w:val="en-US" w:eastAsia="zh-Hans"/>
              </w:rPr>
              <w:t>万元</w:t>
            </w:r>
            <w:r>
              <w:rPr>
                <w:rFonts w:hint="default"/>
                <w:lang w:eastAsia="zh-Hans"/>
              </w:rPr>
              <w:t>-3</w:t>
            </w:r>
            <w:r>
              <w:rPr>
                <w:rFonts w:hint="eastAsia"/>
                <w:lang w:val="en-US" w:eastAsia="zh-Hans"/>
              </w:rPr>
              <w:t>万元</w:t>
            </w:r>
            <w:r>
              <w:rPr>
                <w:rFonts w:hint="eastAsia"/>
              </w:rPr>
              <w:t>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dxa"/>
            <w:vMerge w:val="continue"/>
          </w:tcPr>
          <w:p/>
        </w:tc>
        <w:tc>
          <w:tcPr>
            <w:tcW w:w="1112" w:type="dxa"/>
            <w:vMerge w:val="restart"/>
          </w:tcPr>
          <w:p>
            <w:r>
              <w:rPr>
                <w:rFonts w:hint="eastAsia"/>
              </w:rPr>
              <w:t>适用条件</w:t>
            </w:r>
          </w:p>
        </w:tc>
        <w:tc>
          <w:tcPr>
            <w:tcW w:w="1073" w:type="dxa"/>
          </w:tcPr>
          <w:p>
            <w:r>
              <w:rPr>
                <w:rFonts w:hint="eastAsia"/>
                <w:b/>
                <w:bCs/>
                <w:lang w:eastAsia="zh-Hans"/>
              </w:rPr>
              <w:t>不予处罚</w:t>
            </w:r>
          </w:p>
        </w:tc>
        <w:tc>
          <w:tcPr>
            <w:tcW w:w="5704" w:type="dxa"/>
            <w:vAlign w:val="top"/>
          </w:tcPr>
          <w:p>
            <w:r>
              <w:rPr>
                <w:rFonts w:hint="eastAsia"/>
              </w:rPr>
              <w:t>符合《行政处罚法》及《基准制度》</w:t>
            </w:r>
            <w:r>
              <w:rPr>
                <w:rFonts w:hint="eastAsia"/>
                <w:lang w:val="en-US" w:eastAsia="zh-Hans"/>
              </w:rPr>
              <w:t>规定的应当不予处罚</w:t>
            </w:r>
            <w:r>
              <w:rPr>
                <w:rFonts w:hint="eastAsia"/>
              </w:rPr>
              <w:t>情形的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633" w:type="dxa"/>
            <w:vMerge w:val="continue"/>
          </w:tcPr>
          <w:p/>
        </w:tc>
        <w:tc>
          <w:tcPr>
            <w:tcW w:w="1112" w:type="dxa"/>
            <w:vMerge w:val="continue"/>
          </w:tcPr>
          <w:p/>
        </w:tc>
        <w:tc>
          <w:tcPr>
            <w:tcW w:w="1073" w:type="dxa"/>
          </w:tcPr>
          <w:p>
            <w:pPr>
              <w:rPr>
                <w:lang w:eastAsia="zh-Hans"/>
              </w:rPr>
            </w:pPr>
            <w:r>
              <w:rPr>
                <w:rFonts w:hint="eastAsia"/>
                <w:b/>
                <w:bCs/>
              </w:rPr>
              <w:t>从轻或者减轻</w:t>
            </w:r>
            <w:r>
              <w:rPr>
                <w:rFonts w:hint="eastAsia"/>
                <w:b/>
                <w:bCs/>
                <w:lang w:eastAsia="zh-Hans"/>
              </w:rPr>
              <w:t>处罚</w:t>
            </w:r>
          </w:p>
        </w:tc>
        <w:tc>
          <w:tcPr>
            <w:tcW w:w="570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Hans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Hans" w:bidi="ar-SA"/>
              </w:rPr>
              <w:t>1.</w:t>
            </w:r>
            <w:r>
              <w:rPr>
                <w:rFonts w:hint="eastAsia"/>
                <w:lang w:val="en-US" w:eastAsia="zh-Hans"/>
              </w:rPr>
              <w:t>违法行为持续时间较短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Hans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Hans" w:bidi="ar-SA"/>
              </w:rPr>
              <w:t>2.</w:t>
            </w:r>
            <w:r>
              <w:rPr>
                <w:rFonts w:hint="eastAsia"/>
                <w:lang w:val="en-US" w:eastAsia="zh-Hans"/>
              </w:rPr>
              <w:t>危害后果较轻</w:t>
            </w:r>
          </w:p>
          <w:p>
            <w:pPr>
              <w:numPr>
                <w:ilvl w:val="0"/>
                <w:numId w:val="0"/>
              </w:numPr>
            </w:pPr>
            <w: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3.</w:t>
            </w:r>
            <w:r>
              <w:rPr>
                <w:rFonts w:hint="eastAsia"/>
                <w:lang w:val="en-US" w:eastAsia="zh-Hans"/>
              </w:rPr>
              <w:t>社会影响较小</w:t>
            </w:r>
          </w:p>
          <w:p>
            <w:pPr>
              <w:numPr>
                <w:ilvl w:val="0"/>
                <w:numId w:val="0"/>
              </w:numPr>
            </w:pPr>
            <w: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4.</w:t>
            </w:r>
            <w:r>
              <w:rPr>
                <w:rFonts w:hint="eastAsia"/>
                <w:lang w:val="en-US" w:eastAsia="zh-Hans"/>
              </w:rPr>
              <w:t>其他情形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dxa"/>
            <w:vMerge w:val="continue"/>
          </w:tcPr>
          <w:p/>
        </w:tc>
        <w:tc>
          <w:tcPr>
            <w:tcW w:w="1112" w:type="dxa"/>
            <w:vMerge w:val="continue"/>
          </w:tcPr>
          <w:p/>
        </w:tc>
        <w:tc>
          <w:tcPr>
            <w:tcW w:w="1073" w:type="dxa"/>
          </w:tcPr>
          <w:p>
            <w:pPr>
              <w:rPr>
                <w:lang w:eastAsia="zh-Hans"/>
              </w:rPr>
            </w:pPr>
            <w:r>
              <w:rPr>
                <w:rFonts w:hint="eastAsia"/>
                <w:b/>
                <w:bCs/>
                <w:lang w:eastAsia="zh-Hans"/>
              </w:rPr>
              <w:t>从重处罚</w:t>
            </w:r>
          </w:p>
        </w:tc>
        <w:tc>
          <w:tcPr>
            <w:tcW w:w="570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lang w:val="en-US" w:eastAsia="zh-Hans"/>
              </w:rPr>
            </w:pPr>
            <w:r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Hans" w:bidi="ar-SA"/>
              </w:rPr>
              <w:t>1.</w:t>
            </w:r>
            <w:r>
              <w:rPr>
                <w:rFonts w:hint="eastAsia"/>
                <w:b w:val="0"/>
                <w:bCs w:val="0"/>
                <w:lang w:val="en-US" w:eastAsia="zh-Hans"/>
              </w:rPr>
              <w:t>违法行为持续时间较长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lang w:val="en-US" w:eastAsia="zh-Hans"/>
              </w:rPr>
            </w:pPr>
            <w:r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Hans" w:bidi="ar-SA"/>
              </w:rPr>
              <w:t>2.</w:t>
            </w:r>
            <w:r>
              <w:rPr>
                <w:rFonts w:hint="eastAsia"/>
                <w:b w:val="0"/>
                <w:bCs w:val="0"/>
                <w:lang w:val="en-US" w:eastAsia="zh-Hans"/>
              </w:rPr>
              <w:t>危害后果严重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lang w:val="en-US" w:eastAsia="zh-Hans"/>
              </w:rPr>
            </w:pPr>
            <w:r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Hans" w:bidi="ar-SA"/>
              </w:rPr>
              <w:t>3.</w:t>
            </w:r>
            <w:r>
              <w:rPr>
                <w:rFonts w:hint="eastAsia"/>
                <w:b w:val="0"/>
                <w:bCs w:val="0"/>
                <w:lang w:val="en-US" w:eastAsia="zh-Hans"/>
              </w:rPr>
              <w:t>造成较大社会影响</w:t>
            </w:r>
          </w:p>
          <w:p>
            <w:pPr>
              <w:numPr>
                <w:ilvl w:val="0"/>
                <w:numId w:val="0"/>
              </w:numPr>
              <w:rPr>
                <w:b w:val="0"/>
                <w:bCs w:val="0"/>
              </w:rPr>
            </w:pPr>
            <w:r>
              <w:rPr>
                <w:rFonts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4.</w:t>
            </w:r>
            <w:r>
              <w:rPr>
                <w:rFonts w:hint="eastAsia"/>
                <w:b w:val="0"/>
                <w:bCs w:val="0"/>
                <w:lang w:val="en-US" w:eastAsia="zh-Hans"/>
              </w:rPr>
              <w:t>其他情形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12" w:type="dxa"/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6777" w:type="dxa"/>
            <w:gridSpan w:val="2"/>
            <w:vAlign w:val="top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Hans" w:bidi="ar-SA"/>
              </w:rPr>
            </w:pPr>
            <w:r>
              <w:rPr>
                <w:rFonts w:hint="eastAsia"/>
              </w:rPr>
              <w:t>由县级以上商务主管部门会同有关部门责令改正</w:t>
            </w:r>
            <w:r>
              <w:rPr>
                <w:rFonts w:hint="eastAsia"/>
                <w:lang w:eastAsia="zh-Hans"/>
              </w:rPr>
              <w:t>，</w:t>
            </w:r>
            <w:r>
              <w:rPr>
                <w:rFonts w:hint="eastAsia"/>
                <w:lang w:val="en-US" w:eastAsia="zh-Hans"/>
              </w:rPr>
              <w:t>逾期</w:t>
            </w:r>
            <w:r>
              <w:rPr>
                <w:rFonts w:hint="eastAsia"/>
                <w:lang w:val="en-US" w:eastAsia="zh-CN"/>
              </w:rPr>
              <w:t>仍</w:t>
            </w:r>
            <w:r>
              <w:rPr>
                <w:rFonts w:hint="eastAsia"/>
                <w:lang w:val="en-US" w:eastAsia="zh-Hans"/>
              </w:rPr>
              <w:t>不改正的，按照</w:t>
            </w:r>
            <w:r>
              <w:rPr>
                <w:rFonts w:hint="eastAsia"/>
                <w:lang w:val="en-US" w:eastAsia="zh-CN"/>
              </w:rPr>
              <w:t>上述基准</w:t>
            </w:r>
            <w:r>
              <w:rPr>
                <w:rFonts w:hint="eastAsia"/>
                <w:lang w:val="en-US" w:eastAsia="zh-Hans"/>
              </w:rPr>
              <w:t>处罚</w:t>
            </w:r>
          </w:p>
        </w:tc>
      </w:tr>
    </w:tbl>
    <w:p>
      <w:pPr>
        <w:rPr>
          <w:lang w:eastAsia="zh-Han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lZGQyNmVmOTQxMTk1YzZlNGNhZGIwZjRjZGRiNjcifQ=="/>
  </w:docVars>
  <w:rsids>
    <w:rsidRoot w:val="ECBB7D17"/>
    <w:rsid w:val="005F51A4"/>
    <w:rsid w:val="00980F36"/>
    <w:rsid w:val="0F0B6488"/>
    <w:rsid w:val="1BD30157"/>
    <w:rsid w:val="304B4E0C"/>
    <w:rsid w:val="3F021F3D"/>
    <w:rsid w:val="41291944"/>
    <w:rsid w:val="5A772EFD"/>
    <w:rsid w:val="5F7FE7A1"/>
    <w:rsid w:val="685F7419"/>
    <w:rsid w:val="69306971"/>
    <w:rsid w:val="6ABEBDD3"/>
    <w:rsid w:val="6F8F7052"/>
    <w:rsid w:val="77FF5634"/>
    <w:rsid w:val="7E2F07D8"/>
    <w:rsid w:val="7FFAD416"/>
    <w:rsid w:val="BF3B46F5"/>
    <w:rsid w:val="CF774452"/>
    <w:rsid w:val="ECBB7D17"/>
    <w:rsid w:val="F5ED3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sect2title1"/>
    <w:basedOn w:val="5"/>
    <w:qFormat/>
    <w:uiPriority w:val="0"/>
    <w:rPr>
      <w:rFonts w:hint="eastAsia" w:ascii="微软雅黑" w:hAnsi="微软雅黑" w:eastAsia="微软雅黑"/>
      <w:b/>
      <w:bCs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1001</Words>
  <Characters>1023</Characters>
  <Lines>7</Lines>
  <Paragraphs>2</Paragraphs>
  <TotalTime>0</TotalTime>
  <ScaleCrop>false</ScaleCrop>
  <LinksUpToDate>false</LinksUpToDate>
  <CharactersWithSpaces>1034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2023-06-30T05:39:00Z</dcterms:created>
  <dc:creator>C&amp;T PARTNERS</dc:creator>
  <cp:lastModifiedBy>C&amp;T PARTNERS</cp:lastModifiedBy>
  <dcterms:modified xsi:type="dcterms:W3CDTF">2023-08-31T07:01:06Z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F33722741D5C4C298226CDAFC9829A25_13</vt:lpwstr>
  </property>
</Properties>
</file>