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36"/>
          <w:szCs w:val="36"/>
        </w:rPr>
      </w:pPr>
      <w:r>
        <w:rPr>
          <w:rFonts w:hint="eastAsia" w:ascii="宋体" w:hAnsi="宋体" w:eastAsia="宋体" w:cs="宋体"/>
          <w:sz w:val="36"/>
          <w:szCs w:val="36"/>
        </w:rPr>
        <w:t>《汽车销售管理办法》涉及处罚事项裁量基准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1</w:t>
            </w:r>
          </w:p>
        </w:tc>
        <w:tc>
          <w:tcPr>
            <w:tcW w:w="1168" w:type="dxa"/>
          </w:tcPr>
          <w:p>
            <w:r>
              <w:rPr>
                <w:rFonts w:hint="eastAsia"/>
              </w:rPr>
              <w:t>违法行为</w:t>
            </w:r>
          </w:p>
        </w:tc>
        <w:tc>
          <w:tcPr>
            <w:tcW w:w="6721" w:type="dxa"/>
            <w:gridSpan w:val="2"/>
          </w:tcPr>
          <w:p>
            <w:r>
              <w:t>经销商没有在经营场所以适当形式明示销售汽车、配件及其他相关产品的价格和各项服务收费标准，以及在标价之外加价销售或收取额外费用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第十条 </w:t>
            </w:r>
            <w:r>
              <w:t>经销商应当在经营场所以适当形式明示销售汽车、配件及其他相关产品的价格和各项服务收费标准，不得在标价之外加价销售或收取额外费用。</w:t>
            </w:r>
          </w:p>
          <w:p>
            <w:r>
              <w:rPr>
                <w:b/>
                <w:bCs/>
              </w:rPr>
              <w:t>第三十二条</w:t>
            </w:r>
            <w:r>
              <w:t xml:space="preserve"> 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t>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rPr>
                <w:rFonts w:hint="default"/>
                <w:lang w:eastAsia="zh-Hans"/>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rPr>
                <w:rFonts w:hint="default"/>
                <w:lang w:eastAsia="zh-Hans"/>
              </w:rPr>
            </w:pP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rPr>
                <w:rFonts w:hint="default"/>
              </w:rPr>
            </w:pP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加价销售或收取额外费用金额较小的</w:t>
            </w:r>
          </w:p>
          <w:p>
            <w:pPr>
              <w:numPr>
                <w:ilvl w:val="0"/>
                <w:numId w:val="0"/>
              </w:numPr>
              <w:rPr>
                <w:rFonts w:hint="default"/>
                <w:lang w:eastAsia="zh-Hans"/>
              </w:rPr>
            </w:pPr>
            <w:r>
              <w:rPr>
                <w:rFonts w:hint="default"/>
                <w:lang w:eastAsia="zh-Hans"/>
              </w:rPr>
              <w:t>2</w:t>
            </w:r>
            <w:r>
              <w:rPr>
                <w:rFonts w:hint="eastAsia"/>
                <w:lang w:val="en-US" w:eastAsia="zh-Hans"/>
              </w:rPr>
              <w:t>.社会影响较小</w:t>
            </w:r>
          </w:p>
          <w:p>
            <w:pPr>
              <w:numPr>
                <w:ilvl w:val="0"/>
                <w:numId w:val="0"/>
              </w:numPr>
              <w:rPr>
                <w:rFonts w:hint="default"/>
                <w:lang w:eastAsia="zh-Hans"/>
              </w:rPr>
            </w:pPr>
            <w:r>
              <w:rPr>
                <w:rFonts w:hint="default"/>
                <w:lang w:eastAsia="zh-Hans"/>
              </w:rPr>
              <w:t>3</w:t>
            </w:r>
            <w:r>
              <w:rPr>
                <w:rFonts w:hint="eastAsia"/>
                <w:lang w:val="en-US" w:eastAsia="zh-Hans"/>
              </w:rPr>
              <w:t>.危害后果较轻</w:t>
            </w:r>
          </w:p>
          <w:p>
            <w:r>
              <w:rPr>
                <w:rFonts w:hint="default"/>
              </w:rPr>
              <w:t>4</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加价销售或收取额外费用金额较大的</w:t>
            </w:r>
          </w:p>
          <w:p>
            <w:pPr>
              <w:numPr>
                <w:ilvl w:val="0"/>
                <w:numId w:val="0"/>
              </w:numPr>
              <w:rPr>
                <w:rFonts w:hint="default"/>
                <w:lang w:val="en-US" w:eastAsia="zh-Hans"/>
              </w:rPr>
            </w:pPr>
            <w:r>
              <w:rPr>
                <w:rFonts w:hint="default"/>
                <w:lang w:eastAsia="zh-Hans"/>
              </w:rPr>
              <w:t>2.</w:t>
            </w:r>
            <w:r>
              <w:rPr>
                <w:rFonts w:hint="eastAsia"/>
                <w:lang w:val="en-US" w:eastAsia="zh-Hans"/>
              </w:rPr>
              <w:t>造成严重危害后果</w:t>
            </w:r>
          </w:p>
          <w:p>
            <w:pPr>
              <w:rPr>
                <w:rFonts w:hint="default" w:eastAsiaTheme="minorEastAsia"/>
                <w:lang w:eastAsia="zh-Hans"/>
              </w:rPr>
            </w:pPr>
            <w:r>
              <w:rPr>
                <w:rFonts w:hint="default"/>
              </w:rPr>
              <w:t>3</w:t>
            </w:r>
            <w:r>
              <w:rPr>
                <w:rFonts w:hint="eastAsia"/>
                <w:lang w:val="en-US" w:eastAsia="zh-Hans"/>
              </w:rPr>
              <w:t>.造成较大社会影响</w:t>
            </w:r>
          </w:p>
          <w:p>
            <w:pPr>
              <w:rPr>
                <w:b/>
                <w:bCs/>
                <w:lang w:eastAsia="zh-Hans"/>
              </w:rPr>
            </w:pPr>
            <w:r>
              <w:rPr>
                <w:rFonts w:hint="default"/>
              </w:rPr>
              <w:t>4</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2</w:t>
            </w:r>
          </w:p>
        </w:tc>
        <w:tc>
          <w:tcPr>
            <w:tcW w:w="1168" w:type="dxa"/>
          </w:tcPr>
          <w:p>
            <w:r>
              <w:rPr>
                <w:rFonts w:hint="eastAsia"/>
              </w:rPr>
              <w:t>违法行为</w:t>
            </w:r>
          </w:p>
        </w:tc>
        <w:tc>
          <w:tcPr>
            <w:tcW w:w="6721" w:type="dxa"/>
            <w:gridSpan w:val="2"/>
          </w:tcPr>
          <w:p>
            <w:r>
              <w:t>经销商没有在经营场所明示所出售的汽车产品质量保证、保修服务及消费者需知悉的其他售后服务政策，对出售家用汽车产品的经销商没有在经营场所明示家用汽车产品的“三包”信息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规章】《汽车销售管理办法》（商务部令2017年第1号）</w:t>
            </w:r>
          </w:p>
          <w:p>
            <w:pPr>
              <w:rPr>
                <w:b/>
                <w:bCs/>
              </w:rPr>
            </w:pPr>
            <w:r>
              <w:rPr>
                <w:b/>
                <w:bCs/>
              </w:rPr>
              <w:t xml:space="preserve">第十一条 </w:t>
            </w:r>
            <w:r>
              <w:t>经销商应当在经营场所明示所出售的汽车产品质量保证、保修服务及消费者需知悉的其他售后服务政策，出售家用汽车产品的经销商还应当在经营场所明示家用汽车产品的“三包”信息。</w:t>
            </w:r>
          </w:p>
          <w:p>
            <w:r>
              <w:rPr>
                <w:b/>
                <w:bCs/>
              </w:rPr>
              <w:t xml:space="preserve">第三十三条 </w:t>
            </w:r>
            <w:r>
              <w:t>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1</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lang w:eastAsia="zh-Hans"/>
              </w:rPr>
            </w:pPr>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rFonts w:hint="eastAsia" w:eastAsiaTheme="minorEastAsia"/>
                <w:lang w:val="en-US" w:eastAsia="zh-Hans"/>
              </w:rPr>
            </w:pP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3</w:t>
            </w:r>
          </w:p>
        </w:tc>
        <w:tc>
          <w:tcPr>
            <w:tcW w:w="1168" w:type="dxa"/>
          </w:tcPr>
          <w:p>
            <w:r>
              <w:rPr>
                <w:rFonts w:hint="eastAsia"/>
              </w:rPr>
              <w:t>违法行为</w:t>
            </w:r>
          </w:p>
        </w:tc>
        <w:tc>
          <w:tcPr>
            <w:tcW w:w="6721" w:type="dxa"/>
            <w:gridSpan w:val="2"/>
          </w:tcPr>
          <w:p>
            <w:r>
              <w:t>经销商出售未经供应商授权销售的汽车，或者未经境外汽车生产企业授权销售的进口汽车，没有以书面形式向消费者作出提醒和说明，并书面告知向消费者承担相关责任的主体，以及未经供应商授权或者授权终止，经销商仍然以供应商授权销售汽车的名义从事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规章】《汽车销售管理办法》（商务部令2017年第1号）</w:t>
            </w:r>
          </w:p>
          <w:p>
            <w:r>
              <w:rPr>
                <w:b/>
                <w:bCs/>
              </w:rPr>
              <w:t xml:space="preserve">第十二条 </w:t>
            </w:r>
            <w:r>
              <w:t>经销商出售未经供应商授权销售的汽车，或者未经境外汽车生产企业授权销售的进口汽车，应当以书面形式向消费者作出提醒和说明，并书面告知向消费者承担相关责任的主体。</w:t>
            </w:r>
          </w:p>
          <w:p>
            <w:pPr>
              <w:rPr>
                <w:b/>
                <w:bCs/>
              </w:rPr>
            </w:pPr>
            <w:r>
              <w:t>未经供应商授权或者授权终止的，经销商不得以供应商授权销售汽车的名义从事经营活动。</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4</w:t>
            </w:r>
          </w:p>
        </w:tc>
        <w:tc>
          <w:tcPr>
            <w:tcW w:w="1168" w:type="dxa"/>
          </w:tcPr>
          <w:p>
            <w:r>
              <w:rPr>
                <w:rFonts w:hint="eastAsia"/>
              </w:rPr>
              <w:t>违法行为</w:t>
            </w:r>
          </w:p>
        </w:tc>
        <w:tc>
          <w:tcPr>
            <w:tcW w:w="6721" w:type="dxa"/>
            <w:gridSpan w:val="2"/>
          </w:tcPr>
          <w:p>
            <w:r>
              <w:t>供应商、经销商限定消费者户籍所在地，对消费者限定汽车配件、用品、金融、保险、救援等产品的提供商和售后服务商，或者经销商销售汽车时强制消费者购买保险或者强制为其提供代办车辆注册登记等服务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第十四条 </w:t>
            </w:r>
            <w:r>
              <w:t>供应商、经销商不得限定消费者户籍所在地，不得对消费者限定汽车配件、用品、金融、保险、救援等产品的提供商和售后服务商，但家用汽车产品“三包”服务、召回等由供应商承担费用时使用的配件和服务除外。</w:t>
            </w:r>
          </w:p>
          <w:p>
            <w:pPr>
              <w:rPr>
                <w:b/>
                <w:bCs/>
              </w:rPr>
            </w:pPr>
            <w:r>
              <w:t>经销商销售汽车时不得强制消费者购买保险或者强制为其提供代办车辆注册登记等服务。</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5</w:t>
            </w:r>
          </w:p>
        </w:tc>
        <w:tc>
          <w:tcPr>
            <w:tcW w:w="1168" w:type="dxa"/>
          </w:tcPr>
          <w:p>
            <w:r>
              <w:rPr>
                <w:rFonts w:hint="eastAsia"/>
              </w:rPr>
              <w:t>违法行为</w:t>
            </w:r>
          </w:p>
        </w:tc>
        <w:tc>
          <w:tcPr>
            <w:tcW w:w="6721" w:type="dxa"/>
            <w:gridSpan w:val="2"/>
          </w:tcPr>
          <w:p>
            <w:r>
              <w:t>经销商向消费者销售汽车时，没有核实登记消费者的有效身份证明，或没有签订销售合同，以及没有如实开具销售发票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第十五条 </w:t>
            </w:r>
            <w:r>
              <w:t>经销商向消费者销售汽车时，应当核实登记消费者的有效身份证明，签订销售合同，并如实开具销售发票。</w:t>
            </w:r>
          </w:p>
          <w:p>
            <w:r>
              <w:rPr>
                <w:b/>
                <w:bCs/>
              </w:rPr>
              <w:t>第三十三条</w:t>
            </w:r>
            <w:r>
              <w:t xml:space="preserve"> 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1</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6</w:t>
            </w:r>
            <w:r>
              <w:rPr>
                <w:rFonts w:hint="eastAsia"/>
                <w:lang w:val="en-US" w:eastAsia="zh-CN"/>
              </w:rPr>
              <w:t>6</w:t>
            </w:r>
          </w:p>
        </w:tc>
        <w:tc>
          <w:tcPr>
            <w:tcW w:w="1168" w:type="dxa"/>
          </w:tcPr>
          <w:p>
            <w:r>
              <w:rPr>
                <w:rFonts w:hint="eastAsia"/>
              </w:rPr>
              <w:t>违法行为</w:t>
            </w:r>
          </w:p>
        </w:tc>
        <w:tc>
          <w:tcPr>
            <w:tcW w:w="6721" w:type="dxa"/>
            <w:gridSpan w:val="2"/>
          </w:tcPr>
          <w:p>
            <w:r>
              <w:t>经销商、售后服务商销售或者提供配件没有如实标明原厂配件、质量相当配件、再制造件、回用件等，或没有明示生产商（进口产品为进口商）、生产日期、适配车型等信息，以及向消费者销售或者提供原厂配件以外的其他配件时，没有予以提醒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第十七条第一款 </w:t>
            </w:r>
            <w:r>
              <w:t>经销商、售后服务商销售或者提供配件应当如实标明原厂配件、质量相当配件、再制造件、回用件等，明示生产商（进口产品为进口商）、生产日期、适配车型等信息，向消费者销售或者提供原厂配件以外的其他配件时，应当予以提醒和说明。</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6</w:t>
            </w:r>
            <w:r>
              <w:rPr>
                <w:rFonts w:hint="eastAsia"/>
                <w:lang w:val="en-US" w:eastAsia="zh-CN"/>
              </w:rPr>
              <w:t>7</w:t>
            </w:r>
          </w:p>
        </w:tc>
        <w:tc>
          <w:tcPr>
            <w:tcW w:w="1168" w:type="dxa"/>
          </w:tcPr>
          <w:p>
            <w:r>
              <w:rPr>
                <w:rFonts w:hint="eastAsia"/>
              </w:rPr>
              <w:t>违法行为</w:t>
            </w:r>
          </w:p>
        </w:tc>
        <w:tc>
          <w:tcPr>
            <w:tcW w:w="6721" w:type="dxa"/>
            <w:gridSpan w:val="2"/>
          </w:tcPr>
          <w:p>
            <w:r>
              <w:t>供应商、经销商没有建立健全消费者投诉制度，未明确受理消费者投诉的具体部门和人员，未向消费者明示投诉渠道，以及投诉的受理、转交以及处理情况未按时通知投诉的消费者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第十八条 </w:t>
            </w:r>
            <w:r>
              <w:t>供应商、经销商应当建立健全消费者投诉制度，明确受理消费者投诉的具体部门和人员，并向消费者明示投诉渠道。投诉的受理、转交以及处理情况应当自收到投诉之日起7个工作日内通知投诉的消费者。</w:t>
            </w:r>
          </w:p>
          <w:p>
            <w:r>
              <w:rPr>
                <w:b/>
                <w:bCs/>
              </w:rPr>
              <w:t xml:space="preserve">第三十三条 </w:t>
            </w:r>
            <w:r>
              <w:t>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eastAsia="zh-Hans"/>
              </w:rPr>
              <w:t>警告或</w:t>
            </w:r>
            <w:r>
              <w:rPr>
                <w:rFonts w:hint="eastAsia"/>
              </w:rPr>
              <w:t>1</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lang w:eastAsia="zh-Hans"/>
              </w:rPr>
            </w:pPr>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lang w:eastAsia="zh-Hans"/>
              </w:rPr>
            </w:pPr>
            <w:r>
              <w:rPr>
                <w:rFonts w:hint="eastAsia"/>
                <w:lang w:val="en-US" w:eastAsia="zh-Hans"/>
              </w:rPr>
              <w:t>警告或</w:t>
            </w:r>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lang w:eastAsia="zh-Hans"/>
              </w:rPr>
            </w:pPr>
            <w:r>
              <w:rPr>
                <w:rFonts w:hint="eastAsia"/>
                <w:lang w:val="en-US" w:eastAsia="zh-Hans"/>
              </w:rPr>
              <w:t>警告或</w:t>
            </w: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rFonts w:hint="default" w:eastAsiaTheme="minorEastAsia"/>
                <w:lang w:eastAsia="zh-Hans"/>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rFonts w:hint="eastAsia" w:eastAsiaTheme="minorEastAsia"/>
                <w:b/>
                <w:bCs/>
                <w:lang w:val="en-US"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6</w:t>
            </w:r>
            <w:r>
              <w:rPr>
                <w:rFonts w:hint="eastAsia"/>
                <w:lang w:val="en-US" w:eastAsia="zh-CN"/>
              </w:rPr>
              <w:t>8</w:t>
            </w:r>
          </w:p>
        </w:tc>
        <w:tc>
          <w:tcPr>
            <w:tcW w:w="1168" w:type="dxa"/>
          </w:tcPr>
          <w:p>
            <w:r>
              <w:rPr>
                <w:rFonts w:hint="eastAsia"/>
              </w:rPr>
              <w:t>违法行为</w:t>
            </w:r>
          </w:p>
        </w:tc>
        <w:tc>
          <w:tcPr>
            <w:tcW w:w="6721" w:type="dxa"/>
            <w:gridSpan w:val="2"/>
          </w:tcPr>
          <w:p>
            <w:r>
              <w:t>供应商、经销商没有在本企业网站或经营场所公示与其合作的售后服务商名单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规章】《汽车销售管理办法》（商务部令2017年第1号）</w:t>
            </w:r>
          </w:p>
          <w:p>
            <w:pPr>
              <w:rPr>
                <w:b/>
                <w:bCs/>
              </w:rPr>
            </w:pPr>
            <w:r>
              <w:rPr>
                <w:b/>
                <w:bCs/>
              </w:rPr>
              <w:t xml:space="preserve">第二十条第二款 </w:t>
            </w:r>
            <w:r>
              <w:t>供应商、经销商应当在本企业网站或经营场所公示与其合作的售后服务商名单。</w:t>
            </w:r>
          </w:p>
          <w:p>
            <w:r>
              <w:rPr>
                <w:b/>
                <w:bCs/>
              </w:rPr>
              <w:t xml:space="preserve">第三十三条 </w:t>
            </w:r>
            <w:r>
              <w:t>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r>
              <w:rPr>
                <w:rFonts w:hint="eastAsia"/>
                <w:lang w:val="en-US" w:eastAsia="zh-Hans"/>
              </w:rPr>
              <w:t>警告或</w:t>
            </w:r>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r>
              <w:rPr>
                <w:rFonts w:hint="eastAsia"/>
                <w:lang w:val="en-US" w:eastAsia="zh-Hans"/>
              </w:rPr>
              <w:t>警告或</w:t>
            </w: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eastAsiaTheme="minorEastAsia"/>
                <w:lang w:val="en-US" w:eastAsia="zh-CN"/>
              </w:rPr>
            </w:pPr>
            <w:r>
              <w:rPr>
                <w:rFonts w:hint="eastAsia"/>
                <w:lang w:val="en-US" w:eastAsia="zh-CN"/>
              </w:rPr>
              <w:t>69</w:t>
            </w:r>
          </w:p>
        </w:tc>
        <w:tc>
          <w:tcPr>
            <w:tcW w:w="1168" w:type="dxa"/>
          </w:tcPr>
          <w:p>
            <w:r>
              <w:rPr>
                <w:rFonts w:hint="eastAsia"/>
              </w:rPr>
              <w:t>违法行为</w:t>
            </w:r>
          </w:p>
        </w:tc>
        <w:tc>
          <w:tcPr>
            <w:tcW w:w="6721" w:type="dxa"/>
            <w:gridSpan w:val="2"/>
          </w:tcPr>
          <w:p>
            <w:r>
              <w:t>供应商限制配件生产商（进口产品为进口商）的销售对象，或限制经销商、售后服务商转售配件，以及供应商没有及时向社会公布停产或者停止销售的车型，没有保证其后至少10年的配件供应以及相应的售后服务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规章】《汽车销售管理办法》（商务部令2017年第1号）</w:t>
            </w:r>
          </w:p>
          <w:p>
            <w:r>
              <w:rPr>
                <w:b/>
                <w:bCs/>
              </w:rPr>
              <w:t xml:space="preserve">第二十一条 </w:t>
            </w:r>
            <w:r>
              <w:t>供应商不得限制配件生产商（进口产品为进口商）的销售对象，不得限制经销商、售后服务商转售配件，有关法律法规规章及其配套的规范性文件另有规定的除外。</w:t>
            </w:r>
          </w:p>
          <w:p>
            <w:pPr>
              <w:rPr>
                <w:b/>
                <w:bCs/>
              </w:rPr>
            </w:pPr>
            <w:r>
              <w:t>供应商应当及时向社会公布停产或者停止销售的车型，并保证其后至少10年的配件供应以及相应的售后服务</w:t>
            </w:r>
            <w:r>
              <w:rPr>
                <w:b/>
                <w:bCs/>
              </w:rPr>
              <w:t>。</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0</w:t>
            </w:r>
          </w:p>
        </w:tc>
        <w:tc>
          <w:tcPr>
            <w:tcW w:w="1168" w:type="dxa"/>
          </w:tcPr>
          <w:p>
            <w:r>
              <w:rPr>
                <w:rFonts w:hint="eastAsia"/>
              </w:rPr>
              <w:t>违法行为</w:t>
            </w:r>
          </w:p>
        </w:tc>
        <w:tc>
          <w:tcPr>
            <w:tcW w:w="6721" w:type="dxa"/>
            <w:gridSpan w:val="2"/>
          </w:tcPr>
          <w:p>
            <w:r>
              <w:t>经销商不再经营供应商产品的，没有将客户、车辆资料和维修历史记录在授权合同终止后30日内移交给供应商，并实施有损于供应商品牌形象的行为；或者家用汽车产品经销商不再经营供应商产品时，没有及时通知消费者，变更承担“三包”责任的经销商的，以及供应商、承担“三包”责任的经销商没有为消费者继续提供相应的售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第二十三条第二款 </w:t>
            </w:r>
            <w:r>
              <w:t>经销商不再经营供应商产品的，应当将客户、车辆资料和维修历史记录在授权合同终止后30日内移交给供应商，不得实施有损于供应商品牌形象的行为；家用汽车产品经销商不再经营供应商产品时，应当及时通知消费者，在供应商的配合下变更承担“三包”责任的经销商。供应商、承担“三包”责任的经销商应当保证为消费者继续提供相应的售后服务。</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1</w:t>
            </w:r>
          </w:p>
        </w:tc>
        <w:tc>
          <w:tcPr>
            <w:tcW w:w="1168" w:type="dxa"/>
          </w:tcPr>
          <w:p>
            <w:r>
              <w:rPr>
                <w:rFonts w:hint="eastAsia"/>
              </w:rPr>
              <w:t>违法行为</w:t>
            </w:r>
          </w:p>
        </w:tc>
        <w:tc>
          <w:tcPr>
            <w:tcW w:w="6721" w:type="dxa"/>
            <w:gridSpan w:val="2"/>
          </w:tcPr>
          <w:p>
            <w:r>
              <w:t>供应商要求经销商实施下列行为之一的：（一）要求同时具备销售、售后服务等功能；（二）规定整车、配件库存品种或数量，或者规定汽车销售数量，但双方在签署授权合同或合同延期时就上述内容书面达成一致的除外；（三）限制经营其他供应商商品；（四）限制为其他供应商的汽车提供配件及其他售后服务；（五）要求承担以汽车供应商名义实施的广告、车展等宣传推广费用，或者限定广告宣传方式和媒体；（六）限定不合理的经营场地面积、建筑物结构以及有偿设计单位、建筑单位、建筑材料、通用设备以及办公设施的品牌或者供应商；（七）搭售未订购的汽车、配件及其他商品；（八）干涉经销商人力资源和财务管理以及其他属于经销商自主经营范围内的活动；（九）限制本企业汽车产品经销商之间相互转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第二十四条  </w:t>
            </w:r>
            <w:r>
              <w:t>供应商可以要求经销商为本企业品牌汽车设立单独展区，满足经营需要和维护品牌形象的基本功能，但不得对经销商实施下列行为：</w:t>
            </w:r>
          </w:p>
          <w:p>
            <w:r>
              <w:t>（一）要求同时具备销售、售后服务等功能；</w:t>
            </w:r>
          </w:p>
          <w:p>
            <w:r>
              <w:t>（二）规定整车、配件库存品种或数量，或者规定汽车销售数量，但双方在签署授权合同或合同延期时就上述内容书面达成一致的除外；</w:t>
            </w:r>
          </w:p>
          <w:p>
            <w:r>
              <w:t>（三）限制经营其他供应商商品；</w:t>
            </w:r>
          </w:p>
          <w:p>
            <w:r>
              <w:t>（四）限制为其他供应商的汽车提供配件及其他售后服务；</w:t>
            </w:r>
          </w:p>
          <w:p>
            <w:r>
              <w:t>（五）要求承担以汽车供应商名义实施的广告、车展等宣传推广费用，或者限定广告宣传方式和媒体；</w:t>
            </w:r>
          </w:p>
          <w:p>
            <w:r>
              <w:t>（六）限定不合理的经营场地面积、建筑物结构以及有偿设计单位、建筑单位、建筑材料、通用设备以及办公设施的品牌或者供应商；</w:t>
            </w:r>
          </w:p>
          <w:p>
            <w:r>
              <w:t>（七）搭售未订购的汽车、配件及其他商品；</w:t>
            </w:r>
          </w:p>
          <w:p>
            <w:r>
              <w:t>（八）干涉经销商人力资源和财务管理以及其他属于经销商自主经营范围内的活动；</w:t>
            </w:r>
          </w:p>
          <w:p>
            <w:r>
              <w:t>（九）限制本企业汽车产品经销商之间相互转售。</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val="en-US"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2</w:t>
            </w:r>
          </w:p>
        </w:tc>
        <w:tc>
          <w:tcPr>
            <w:tcW w:w="1168" w:type="dxa"/>
          </w:tcPr>
          <w:p>
            <w:r>
              <w:rPr>
                <w:rFonts w:hint="eastAsia"/>
              </w:rPr>
              <w:t>违法行为</w:t>
            </w:r>
          </w:p>
        </w:tc>
        <w:tc>
          <w:tcPr>
            <w:tcW w:w="6721" w:type="dxa"/>
            <w:gridSpan w:val="2"/>
          </w:tcPr>
          <w:p>
            <w:r>
              <w:t>供应商制定或实施营销奖励等商务政策没有遵循公平、公正、透明的原则，或者没有向经销商明确商务政策的主要内容，对于临时性商务政策，没有提前以双方约定的方式告知，对于被解除授权的经销商，没有维护经销商在授权期间应有的权益，无故拒绝或延迟支付销售返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第二十五条 </w:t>
            </w:r>
            <w:r>
              <w:t>供应商制定或实施营销奖励等商务政策应当遵循公平、公正、透明的原则。</w:t>
            </w:r>
          </w:p>
          <w:p>
            <w:r>
              <w:t>供应商应当向经销商明确商务政策的主要内容，对于临时性商务政策，应当提前以双方约定的方式告知；对于被解除授权的经销商，应当维护经销商在授权期间应有的权益，不得拒绝或延迟支付销售返利。</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val="en-US"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restart"/>
          </w:tcPr>
          <w:p>
            <w:pPr>
              <w:rPr>
                <w:rFonts w:hint="eastAsia" w:eastAsiaTheme="minorEastAsia"/>
                <w:lang w:eastAsia="zh-CN"/>
              </w:rPr>
            </w:pPr>
            <w:r>
              <w:rPr>
                <w:rFonts w:hint="default"/>
              </w:rPr>
              <w:t>7</w:t>
            </w:r>
            <w:r>
              <w:rPr>
                <w:rFonts w:hint="eastAsia"/>
                <w:lang w:val="en-US" w:eastAsia="zh-CN"/>
              </w:rPr>
              <w:t>3</w:t>
            </w:r>
          </w:p>
        </w:tc>
        <w:tc>
          <w:tcPr>
            <w:tcW w:w="1168" w:type="dxa"/>
          </w:tcPr>
          <w:p>
            <w:r>
              <w:rPr>
                <w:rFonts w:hint="eastAsia"/>
              </w:rPr>
              <w:t>违法行为</w:t>
            </w:r>
          </w:p>
        </w:tc>
        <w:tc>
          <w:tcPr>
            <w:tcW w:w="6721" w:type="dxa"/>
            <w:gridSpan w:val="2"/>
          </w:tcPr>
          <w:p>
            <w:r>
              <w:t>供应商在双方合同没有另行约定情况下,在经销商获得授权销售区域内向消费者直接销售汽车行为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第二十六条 </w:t>
            </w:r>
            <w:r>
              <w:t>除双方合同另有约定外,供应商在经销商获得授权销售区域内不得向消费者直接销售汽车。</w:t>
            </w:r>
          </w:p>
          <w:p>
            <w:r>
              <w:rPr>
                <w:b/>
                <w:bCs/>
              </w:rPr>
              <w:t xml:space="preserve">第三十二条  </w:t>
            </w:r>
            <w:r>
              <w:t>违反本办法第十条、第十二条、第十四条、第十七条第一款、第二十一条、第二十三条第二款、第二十四条、第二十五条、第二十六条有关规定的，由县级以上地方商务主管部门责令改正，并可给予警告或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3</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9000</w:t>
            </w:r>
            <w:r>
              <w:rPr>
                <w:rFonts w:hint="eastAsia"/>
                <w:lang w:val="en-US" w:eastAsia="zh-Hans"/>
              </w:rPr>
              <w:t>元以下的罚款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9000</w:t>
            </w:r>
            <w:r>
              <w:rPr>
                <w:rFonts w:hint="eastAsia"/>
                <w:lang w:val="en-US" w:eastAsia="zh-Hans"/>
              </w:rPr>
              <w:t>元</w:t>
            </w:r>
            <w:r>
              <w:rPr>
                <w:rFonts w:hint="default"/>
                <w:lang w:eastAsia="zh-Hans"/>
              </w:rPr>
              <w:t>-2</w:t>
            </w:r>
            <w:r>
              <w:rPr>
                <w:rFonts w:hint="eastAsia"/>
                <w:lang w:val="en-US" w:eastAsia="zh-Hans"/>
              </w:rPr>
              <w:t>.</w:t>
            </w:r>
            <w:r>
              <w:rPr>
                <w:rFonts w:hint="default"/>
                <w:lang w:eastAsia="zh-Hans"/>
              </w:rPr>
              <w:t>1</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2</w:t>
            </w:r>
            <w:r>
              <w:rPr>
                <w:rFonts w:hint="eastAsia"/>
                <w:lang w:val="en-US" w:eastAsia="zh-Hans"/>
              </w:rPr>
              <w:t>.</w:t>
            </w:r>
            <w:r>
              <w:rPr>
                <w:rFonts w:hint="default"/>
                <w:lang w:eastAsia="zh-Hans"/>
              </w:rPr>
              <w:t>1</w:t>
            </w:r>
            <w:r>
              <w:rPr>
                <w:rFonts w:hint="eastAsia"/>
              </w:rPr>
              <w:t>万元</w:t>
            </w:r>
            <w:r>
              <w:rPr>
                <w:rFonts w:hint="default"/>
              </w:rPr>
              <w:t>-</w:t>
            </w:r>
            <w:r>
              <w:rPr>
                <w:rFonts w:hint="eastAsia"/>
              </w:rPr>
              <w:t>3万元罚款</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bookmarkStart w:id="0" w:name="_GoBack"/>
            <w:bookmarkEnd w:id="0"/>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4</w:t>
            </w:r>
          </w:p>
        </w:tc>
        <w:tc>
          <w:tcPr>
            <w:tcW w:w="1168" w:type="dxa"/>
          </w:tcPr>
          <w:p>
            <w:r>
              <w:rPr>
                <w:rFonts w:hint="eastAsia"/>
              </w:rPr>
              <w:t>违法行为</w:t>
            </w:r>
          </w:p>
        </w:tc>
        <w:tc>
          <w:tcPr>
            <w:tcW w:w="6721" w:type="dxa"/>
            <w:gridSpan w:val="2"/>
          </w:tcPr>
          <w:p>
            <w:r>
              <w:t>供应商、经销商自取得营业执照之日起未在90日内通过国务院商务主管部门全国汽车流通信息管理系统备案基本信息，或者供应商、经销商备案的基本信息发生变更的，自信息变更之日起30日内未完成信息更新，以及供应商、经销商没有按照国务院商务主管部门的要求，及时通过全国汽车流通信息管理系统报送汽车销售数量、种类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第二十七条 </w:t>
            </w:r>
            <w:r>
              <w:t>供应商、经销商应当自取得营业执照之日起90日内通过国务院商务主管部门全国汽车流通信息管理系统备案基本信息。供应商、经销商备案的基本信息发生变更的，应当自信息变更之日起30日内完成信息更新。</w:t>
            </w:r>
          </w:p>
          <w:p>
            <w:r>
              <w:t>本办法实施以前已设立的供应商、经销商应当自本办法实施之日起90日内按前款规定备案基本信息。</w:t>
            </w:r>
          </w:p>
          <w:p>
            <w:pPr>
              <w:rPr>
                <w:b/>
                <w:bCs/>
              </w:rPr>
            </w:pPr>
            <w:r>
              <w:t>供应商、经销商应当按照国务院商务主管部门的要求，及时通过全国汽车流通信息管理系统报送汽车销售数量、种类等信息。</w:t>
            </w:r>
          </w:p>
          <w:p>
            <w:r>
              <w:rPr>
                <w:b/>
                <w:bCs/>
              </w:rPr>
              <w:t xml:space="preserve">第三十三条 </w:t>
            </w:r>
            <w:r>
              <w:t>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eastAsia="zh-Hans"/>
              </w:rPr>
              <w:t>或</w:t>
            </w:r>
            <w:r>
              <w:rPr>
                <w:rFonts w:hint="eastAsia"/>
              </w:rPr>
              <w:t>1</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highlight w:val="yellow"/>
              </w:rPr>
            </w:pPr>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highlight w:val="yellow"/>
              </w:rPr>
            </w:pPr>
            <w:r>
              <w:rPr>
                <w:rFonts w:hint="eastAsia"/>
                <w:lang w:val="en-US" w:eastAsia="zh-Hans"/>
              </w:rPr>
              <w:t>警告或</w:t>
            </w:r>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highlight w:val="yellow"/>
              </w:rPr>
            </w:pPr>
            <w:r>
              <w:rPr>
                <w:rFonts w:hint="eastAsia"/>
                <w:lang w:val="en-US" w:eastAsia="zh-Hans"/>
              </w:rPr>
              <w:t>警告或</w:t>
            </w: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pPr>
              <w:rPr>
                <w:highlight w:val="yellow"/>
              </w:rPr>
            </w:pPr>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pPr>
              <w:rPr>
                <w:highlight w:val="yellow"/>
              </w:rPr>
            </w:pPr>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highlight w:val="yellow"/>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5</w:t>
            </w:r>
          </w:p>
        </w:tc>
        <w:tc>
          <w:tcPr>
            <w:tcW w:w="1168" w:type="dxa"/>
          </w:tcPr>
          <w:p>
            <w:r>
              <w:rPr>
                <w:rFonts w:hint="eastAsia"/>
              </w:rPr>
              <w:t>违法行为</w:t>
            </w:r>
          </w:p>
        </w:tc>
        <w:tc>
          <w:tcPr>
            <w:tcW w:w="6721" w:type="dxa"/>
            <w:gridSpan w:val="2"/>
          </w:tcPr>
          <w:p>
            <w:r>
              <w:t>经销商没有建立销售汽车、用户等信息档案，不能准确、及时地反映本区域销售动态、用户要求和其他相关信息，以及汽车销售、用户等信息档案保存期不足10年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rPr>
              <w:t>部门</w:t>
            </w:r>
            <w:r>
              <w:rPr>
                <w:b/>
                <w:bCs/>
              </w:rPr>
              <w:t>规章】《汽车销售管理办法》</w:t>
            </w:r>
            <w:r>
              <w:rPr>
                <w:rFonts w:hint="eastAsia"/>
                <w:b/>
                <w:bCs/>
              </w:rPr>
              <w:t>文号</w:t>
            </w:r>
            <w:r>
              <w:rPr>
                <w:b/>
                <w:bCs/>
              </w:rPr>
              <w:t>（商务部令2017年第1号）</w:t>
            </w:r>
          </w:p>
          <w:p>
            <w:r>
              <w:rPr>
                <w:b/>
                <w:bCs/>
              </w:rPr>
              <w:t xml:space="preserve">第二十八条 </w:t>
            </w:r>
            <w:r>
              <w:t>经销商应当建立销售汽车、用户等信息档案，准确、及时地反映本区域销售动态、用户要求和其他相关信息。汽车销售、用户等信息档案保存期不得少于10年。</w:t>
            </w:r>
          </w:p>
          <w:p>
            <w:r>
              <w:rPr>
                <w:b/>
                <w:bCs/>
              </w:rPr>
              <w:t xml:space="preserve">第三十三条 </w:t>
            </w:r>
            <w:r>
              <w:t>违反本办法第十一条、第十五条、第十八条、第二十条第二款、第二十七条、第二十八条有关规定的，由县级以上地方商务主管部门责令改正，并可给予警告或1万元以下罚款。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警告</w:t>
            </w:r>
            <w:r>
              <w:rPr>
                <w:rFonts w:hint="eastAsia"/>
                <w:lang w:val="en-US" w:eastAsia="zh-Hans"/>
              </w:rPr>
              <w:t>或</w:t>
            </w:r>
            <w:r>
              <w:rPr>
                <w:rFonts w:hint="eastAsia"/>
              </w:rPr>
              <w:t>1</w:t>
            </w:r>
            <w: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r>
              <w:rPr>
                <w:rFonts w:hint="eastAsia"/>
                <w:lang w:eastAsia="zh-Hans"/>
              </w:rPr>
              <w:t>警告</w:t>
            </w:r>
            <w:r>
              <w:rPr>
                <w:rFonts w:hint="eastAsia"/>
                <w:lang w:val="en-US" w:eastAsia="zh-Hans"/>
              </w:rPr>
              <w:t>或处</w:t>
            </w:r>
            <w:r>
              <w:rPr>
                <w:rFonts w:hint="default"/>
                <w:lang w:eastAsia="zh-Hans"/>
              </w:rPr>
              <w:t>3000</w:t>
            </w:r>
            <w:r>
              <w:rPr>
                <w:rFonts w:hint="eastAsia"/>
                <w:lang w:val="en-US" w:eastAsia="zh-Hans"/>
              </w:rPr>
              <w:t>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r>
              <w:rPr>
                <w:rFonts w:hint="eastAsia"/>
                <w:lang w:val="en-US" w:eastAsia="zh-Hans"/>
              </w:rPr>
              <w:t>警告或</w:t>
            </w:r>
            <w:r>
              <w:rPr>
                <w:rFonts w:hint="eastAsia"/>
                <w:lang w:eastAsia="zh-Hans"/>
              </w:rPr>
              <w:t>处</w:t>
            </w:r>
            <w:r>
              <w:rPr>
                <w:rFonts w:hint="default"/>
                <w:lang w:eastAsia="zh-Hans"/>
              </w:rPr>
              <w:t>3000</w:t>
            </w:r>
            <w:r>
              <w:rPr>
                <w:rFonts w:hint="eastAsia"/>
                <w:lang w:val="en-US" w:eastAsia="zh-Hans"/>
              </w:rPr>
              <w:t>元</w:t>
            </w:r>
            <w:r>
              <w:rPr>
                <w:rFonts w:hint="default"/>
                <w:lang w:eastAsia="zh-Hans"/>
              </w:rPr>
              <w:t>-7000</w:t>
            </w:r>
            <w:r>
              <w:rPr>
                <w:rFonts w:hint="eastAsia"/>
                <w:lang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r>
              <w:rPr>
                <w:rFonts w:hint="eastAsia"/>
                <w:lang w:val="en-US" w:eastAsia="zh-Hans"/>
              </w:rPr>
              <w:t>警告或</w:t>
            </w:r>
            <w:r>
              <w:rPr>
                <w:rFonts w:hint="eastAsia"/>
              </w:rPr>
              <w:t>处</w:t>
            </w:r>
            <w:r>
              <w:rPr>
                <w:rFonts w:hint="default"/>
              </w:rPr>
              <w:t>7000</w:t>
            </w:r>
            <w:r>
              <w:rPr>
                <w:rFonts w:hint="eastAsia"/>
              </w:rPr>
              <w:t>元</w:t>
            </w:r>
            <w:r>
              <w:rPr>
                <w:rFonts w:hint="default"/>
              </w:rPr>
              <w:t>-1</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hint="eastAsia" w:eastAsiaTheme="minorEastAsia"/>
                <w:lang w:val="en-US" w:eastAsia="zh-Hans"/>
              </w:rPr>
            </w:pPr>
            <w:r>
              <w:rPr>
                <w:rFonts w:hint="default"/>
              </w:rPr>
              <w:t>1.</w:t>
            </w:r>
            <w:r>
              <w:rPr>
                <w:rFonts w:hint="eastAsia"/>
                <w:lang w:val="en-US" w:eastAsia="zh-Hans"/>
              </w:rPr>
              <w:t>初次违法且危害后果轻微并及时改正的</w:t>
            </w:r>
          </w:p>
          <w:p>
            <w:r>
              <w:rPr>
                <w:rFonts w:hint="default"/>
              </w:rPr>
              <w:t>2.</w:t>
            </w: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default"/>
                <w:lang w:eastAsia="zh-Hans"/>
              </w:rPr>
            </w:pPr>
            <w:r>
              <w:rPr>
                <w:rFonts w:hint="default"/>
                <w:lang w:eastAsia="zh-Hans"/>
              </w:rPr>
              <w:t>1.</w:t>
            </w:r>
            <w:r>
              <w:rPr>
                <w:rFonts w:hint="eastAsia"/>
                <w:lang w:val="en-US" w:eastAsia="zh-Hans"/>
              </w:rPr>
              <w:t>造成较大社会影响</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lang w:eastAsia="zh-Hans"/>
              </w:rPr>
            </w:pPr>
            <w:r>
              <w:rPr>
                <w:rFonts w:hint="default"/>
              </w:rPr>
              <w:t>3</w:t>
            </w:r>
            <w:r>
              <w:rPr>
                <w:rFonts w:hint="eastAsia"/>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rFonts w:hint="default"/>
              </w:rPr>
            </w:pPr>
          </w:p>
        </w:tc>
      </w:tr>
    </w:tbl>
    <w:p>
      <w:pPr>
        <w:ind w:firstLine="461"/>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139701E7"/>
    <w:rsid w:val="00431893"/>
    <w:rsid w:val="0082770F"/>
    <w:rsid w:val="0FFF392E"/>
    <w:rsid w:val="139701E7"/>
    <w:rsid w:val="277E6044"/>
    <w:rsid w:val="32AC552F"/>
    <w:rsid w:val="33CD18F6"/>
    <w:rsid w:val="34A37CE5"/>
    <w:rsid w:val="55AFC6B0"/>
    <w:rsid w:val="5BDE7754"/>
    <w:rsid w:val="5F5F5D3D"/>
    <w:rsid w:val="5FFFFD01"/>
    <w:rsid w:val="75CFD5BC"/>
    <w:rsid w:val="7DFFF557"/>
    <w:rsid w:val="ADDF200E"/>
    <w:rsid w:val="ADF68D87"/>
    <w:rsid w:val="EBBC4807"/>
    <w:rsid w:val="EBFF5960"/>
    <w:rsid w:val="FE9FB79A"/>
    <w:rsid w:val="FEB33DF4"/>
    <w:rsid w:val="FEEF7A6E"/>
    <w:rsid w:val="FFDD5208"/>
    <w:rsid w:val="FFFBB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8066</Words>
  <Characters>8451</Characters>
  <Lines>63</Lines>
  <Paragraphs>17</Paragraphs>
  <TotalTime>3</TotalTime>
  <ScaleCrop>false</ScaleCrop>
  <LinksUpToDate>false</LinksUpToDate>
  <CharactersWithSpaces>8486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2023-07-01T11:16:00Z</dcterms:created>
  <dc:creator>xiezun</dc:creator>
  <cp:lastModifiedBy>C&amp;T PARTNERS</cp:lastModifiedBy>
  <dcterms:modified xsi:type="dcterms:W3CDTF">2023-08-31T07:18:53Z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3E7EC9663F41CD59A04FEB647DDC9F93</vt:lpwstr>
  </property>
</Properties>
</file>