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keepLines/>
        <w:spacing w:line="580" w:lineRule="exact"/>
        <w:jc w:val="center"/>
        <w:outlineLvl w:val="1"/>
        <w:rPr>
          <w:rFonts w:hint="eastAsia" w:ascii="方正小标宋_GBK" w:hAnsi="方正小标宋_GBK" w:eastAsia="方正小标宋_GBK" w:cs="方正小标宋_GBK"/>
          <w:kern w:val="0"/>
          <w:sz w:val="44"/>
          <w:szCs w:val="44"/>
        </w:rPr>
      </w:pPr>
      <w:bookmarkStart w:id="0" w:name="_GoBack"/>
      <w:bookmarkEnd w:id="0"/>
      <w:r>
        <w:rPr>
          <w:rFonts w:hint="eastAsia" w:ascii="方正小标宋_GBK" w:hAnsi="方正小标宋_GBK" w:eastAsia="方正小标宋_GBK" w:cs="方正小标宋_GBK"/>
          <w:kern w:val="0"/>
          <w:sz w:val="44"/>
          <w:szCs w:val="44"/>
        </w:rPr>
        <w:t>江苏省开放码头运营管理绩效评价</w:t>
      </w:r>
    </w:p>
    <w:p>
      <w:pPr>
        <w:keepNext/>
        <w:keepLines/>
        <w:spacing w:line="580" w:lineRule="exact"/>
        <w:jc w:val="center"/>
        <w:outlineLvl w:val="1"/>
        <w:rPr>
          <w:rFonts w:ascii="方正小标宋_GBK" w:hAnsi="方正小标宋_GBK" w:eastAsia="方正小标宋_GBK" w:cs="方正小标宋_GBK"/>
          <w:kern w:val="0"/>
          <w:sz w:val="44"/>
          <w:szCs w:val="44"/>
        </w:rPr>
      </w:pPr>
      <w:r>
        <w:rPr>
          <w:rFonts w:hint="eastAsia" w:ascii="方正小标宋_GBK" w:hAnsi="方正小标宋_GBK" w:eastAsia="方正小标宋_GBK" w:cs="方正小标宋_GBK"/>
          <w:kern w:val="0"/>
          <w:sz w:val="44"/>
          <w:szCs w:val="44"/>
          <w:lang w:eastAsia="zh-CN"/>
        </w:rPr>
        <w:t>实施办法</w:t>
      </w:r>
      <w:r>
        <w:rPr>
          <w:rFonts w:hint="eastAsia" w:ascii="方正小标宋_GBK" w:hAnsi="方正小标宋_GBK" w:eastAsia="方正小标宋_GBK" w:cs="方正小标宋_GBK"/>
          <w:kern w:val="0"/>
          <w:sz w:val="44"/>
          <w:szCs w:val="44"/>
        </w:rPr>
        <w:t>起草说明</w:t>
      </w:r>
    </w:p>
    <w:p>
      <w:pPr>
        <w:widowControl/>
        <w:spacing w:line="580" w:lineRule="exact"/>
        <w:ind w:firstLine="640" w:firstLineChars="200"/>
        <w:rPr>
          <w:rFonts w:ascii="方正黑体_GBK" w:hAnsi="方正黑体_GBK" w:eastAsia="方正黑体_GBK" w:cs="方正黑体_GBK"/>
          <w:sz w:val="32"/>
          <w:szCs w:val="32"/>
        </w:rPr>
      </w:pP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为优化</w:t>
      </w:r>
      <w:r>
        <w:rPr>
          <w:rFonts w:hint="eastAsia" w:eastAsia="方正仿宋_GBK" w:cs="Times New Roman"/>
          <w:sz w:val="32"/>
          <w:szCs w:val="32"/>
          <w:lang w:eastAsia="zh-CN"/>
        </w:rPr>
        <w:t>水运</w:t>
      </w:r>
      <w:r>
        <w:rPr>
          <w:rFonts w:hint="eastAsia" w:ascii="Times New Roman" w:hAnsi="Times New Roman" w:eastAsia="方正仿宋_GBK" w:cs="Times New Roman"/>
          <w:sz w:val="32"/>
          <w:szCs w:val="32"/>
        </w:rPr>
        <w:t>口岸资源配置，提高开放整体效益，推动江苏</w:t>
      </w:r>
      <w:r>
        <w:rPr>
          <w:rFonts w:hint="eastAsia" w:eastAsia="方正仿宋_GBK" w:cs="Times New Roman"/>
          <w:sz w:val="32"/>
          <w:szCs w:val="32"/>
          <w:lang w:eastAsia="zh-CN"/>
        </w:rPr>
        <w:t>水运</w:t>
      </w:r>
      <w:r>
        <w:rPr>
          <w:rFonts w:hint="eastAsia" w:ascii="Times New Roman" w:hAnsi="Times New Roman" w:eastAsia="方正仿宋_GBK" w:cs="Times New Roman"/>
          <w:sz w:val="32"/>
          <w:szCs w:val="32"/>
        </w:rPr>
        <w:t>口岸更好地服务高水平对外开放，根据《国家口岸十四五发展规划》以及《江苏省口岸码头泊位开放管理服务办法（试行）》，</w:t>
      </w:r>
      <w:r>
        <w:rPr>
          <w:rFonts w:hint="eastAsia" w:eastAsia="方正仿宋_GBK" w:cs="Times New Roman"/>
          <w:sz w:val="32"/>
          <w:szCs w:val="32"/>
          <w:lang w:eastAsia="zh-CN"/>
        </w:rPr>
        <w:t>省商务厅牵头</w:t>
      </w:r>
      <w:r>
        <w:rPr>
          <w:rFonts w:hint="eastAsia" w:ascii="Times New Roman" w:hAnsi="Times New Roman" w:eastAsia="方正仿宋_GBK" w:cs="Times New Roman"/>
          <w:sz w:val="32"/>
          <w:szCs w:val="32"/>
        </w:rPr>
        <w:t>起草《江苏省开放码头运营管理绩效评价实施办法》（以下简称《办法》）。现将《办法》起草有关情况说明如下。</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黑体" w:hAnsi="黑体" w:eastAsia="黑体"/>
          <w:color w:val="000000"/>
          <w:kern w:val="0"/>
          <w:sz w:val="32"/>
          <w:szCs w:val="32"/>
        </w:rPr>
      </w:pPr>
      <w:r>
        <w:rPr>
          <w:rFonts w:hint="eastAsia" w:ascii="黑体" w:hAnsi="黑体" w:eastAsia="黑体"/>
          <w:color w:val="000000"/>
          <w:kern w:val="0"/>
          <w:sz w:val="32"/>
          <w:szCs w:val="32"/>
        </w:rPr>
        <w:t>一、编</w:t>
      </w:r>
      <w:r>
        <w:rPr>
          <w:rFonts w:hint="eastAsia" w:ascii="黑体" w:hAnsi="黑体" w:eastAsia="黑体"/>
          <w:color w:val="000000"/>
          <w:kern w:val="0"/>
          <w:sz w:val="32"/>
          <w:szCs w:val="32"/>
          <w:lang w:eastAsia="zh-CN"/>
        </w:rPr>
        <w:t>写</w:t>
      </w:r>
      <w:r>
        <w:rPr>
          <w:rFonts w:hint="eastAsia" w:ascii="黑体" w:hAnsi="黑体" w:eastAsia="黑体"/>
          <w:color w:val="000000"/>
          <w:kern w:val="0"/>
          <w:sz w:val="32"/>
          <w:szCs w:val="32"/>
        </w:rPr>
        <w:t>背景与意义</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江苏是开放型经济大省，国际经贸合作交流十分活跃。江苏口岸数量众多，水运口岸在运营发展、综合效能、智能智慧、绿色安全等方面发展不够均衡，通过科学制定系统化、定量化、有针对性的评价体系，评判全省开放码头运营管理绩效水平，可以推进口岸资源配置、运营服务、智慧绿色平安等方面的分类管理，为进一步优化江苏口岸综合服务能力提供重要支撑。因此，研究提出江苏省开放码头运营管理绩效评价实施办法十分必要且具有重要意义，既是贯彻落实国家重大战略，提升口岸服务质效和综合管理水平的重要实践，也是建设双向开放枢纽，畅通国际物流通道的重要抓手，更是落实推动江苏制度型开放，服务全省开放型经济高质量发展的重要路径。</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黑体" w:hAnsi="黑体" w:eastAsia="黑体"/>
          <w:color w:val="000000"/>
          <w:kern w:val="0"/>
          <w:sz w:val="32"/>
          <w:szCs w:val="32"/>
        </w:rPr>
      </w:pPr>
      <w:r>
        <w:rPr>
          <w:rFonts w:hint="eastAsia" w:ascii="黑体" w:hAnsi="黑体" w:eastAsia="黑体"/>
          <w:color w:val="000000"/>
          <w:kern w:val="0"/>
          <w:sz w:val="32"/>
          <w:szCs w:val="32"/>
        </w:rPr>
        <w:t>二、起草过程</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《办法》起草工作始于2023年2月，为保障起草工作按进度实施，制定了《探索开展全省开放码头运营管理绩效评价实施方案》，前期开展调查研究、座谈讨论、初稿编写等工作。</w:t>
      </w:r>
      <w:r>
        <w:rPr>
          <w:rFonts w:hint="eastAsia" w:eastAsia="方正仿宋_GBK" w:cs="Times New Roman"/>
          <w:sz w:val="32"/>
          <w:szCs w:val="32"/>
          <w:lang w:eastAsia="zh-CN"/>
        </w:rPr>
        <w:t>起草</w:t>
      </w:r>
      <w:r>
        <w:rPr>
          <w:rFonts w:hint="eastAsia" w:ascii="Times New Roman" w:hAnsi="Times New Roman" w:eastAsia="方正仿宋_GBK" w:cs="Times New Roman"/>
          <w:sz w:val="32"/>
          <w:szCs w:val="32"/>
        </w:rPr>
        <w:t>过程中，多次进行专题讨论座谈，认真听取各有方面意见，逐步修改并加以完善。</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eastAsia" w:ascii="Times New Roman" w:hAnsi="Times New Roman" w:eastAsia="方正仿宋_GBK" w:cs="Times New Roman"/>
          <w:sz w:val="32"/>
          <w:szCs w:val="32"/>
        </w:rPr>
      </w:pPr>
      <w:r>
        <w:rPr>
          <w:rFonts w:hint="default" w:ascii="Times New Roman" w:hAnsi="Times New Roman" w:eastAsia="方正楷体_GBK" w:cs="Times New Roman"/>
          <w:sz w:val="32"/>
          <w:szCs w:val="32"/>
        </w:rPr>
        <w:t>（一）调查学习阶段（2023年2月）</w:t>
      </w:r>
      <w:r>
        <w:rPr>
          <w:rFonts w:hint="eastAsia" w:ascii="方正楷体_GBK" w:hAnsi="方正楷体_GBK" w:eastAsia="方正楷体_GBK" w:cs="方正楷体_GBK"/>
          <w:sz w:val="32"/>
          <w:szCs w:val="32"/>
        </w:rPr>
        <w:t>。</w:t>
      </w:r>
      <w:r>
        <w:rPr>
          <w:rFonts w:hint="eastAsia" w:ascii="方正仿宋_GBK" w:hAnsi="方正仿宋_GBK" w:eastAsia="方正仿宋_GBK" w:cs="方正仿宋_GBK"/>
          <w:sz w:val="32"/>
          <w:szCs w:val="32"/>
        </w:rPr>
        <w:t>收集相关资料，</w:t>
      </w:r>
      <w:r>
        <w:rPr>
          <w:rFonts w:hint="eastAsia" w:ascii="方正仿宋_GBK" w:hAnsi="方正仿宋_GBK" w:eastAsia="方正仿宋_GBK" w:cs="方正仿宋_GBK"/>
          <w:sz w:val="32"/>
          <w:szCs w:val="32"/>
          <w:lang w:eastAsia="zh-CN"/>
        </w:rPr>
        <w:t>开展</w:t>
      </w:r>
      <w:r>
        <w:rPr>
          <w:rFonts w:hint="eastAsia" w:ascii="方正仿宋_GBK" w:hAnsi="方正仿宋_GBK" w:eastAsia="方正仿宋_GBK" w:cs="方正仿宋_GBK"/>
          <w:sz w:val="32"/>
          <w:szCs w:val="32"/>
        </w:rPr>
        <w:t>学习研究，并与地方口岸进行探讨沟通，</w:t>
      </w:r>
      <w:r>
        <w:rPr>
          <w:rFonts w:hint="eastAsia" w:ascii="方正仿宋_GBK" w:hAnsi="方正仿宋_GBK" w:eastAsia="方正仿宋_GBK" w:cs="方正仿宋_GBK"/>
          <w:sz w:val="32"/>
          <w:szCs w:val="32"/>
          <w:lang w:eastAsia="zh-CN"/>
        </w:rPr>
        <w:t>借鉴相关业务</w:t>
      </w:r>
      <w:r>
        <w:rPr>
          <w:rFonts w:hint="eastAsia" w:ascii="Times New Roman" w:hAnsi="Times New Roman" w:eastAsia="方正仿宋_GBK" w:cs="Times New Roman"/>
          <w:sz w:val="32"/>
          <w:szCs w:val="32"/>
        </w:rPr>
        <w:t>考核评价办法，搭建江苏省开放码头运营管理绩效评价指标体系的总体框架。</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eastAsia" w:ascii="Times New Roman" w:hAnsi="Times New Roman" w:eastAsia="方正仿宋_GBK" w:cs="Times New Roman"/>
          <w:sz w:val="32"/>
          <w:szCs w:val="32"/>
        </w:rPr>
      </w:pPr>
      <w:r>
        <w:rPr>
          <w:rFonts w:hint="default" w:ascii="Times New Roman" w:hAnsi="Times New Roman" w:eastAsia="方正楷体_GBK" w:cs="Times New Roman"/>
          <w:sz w:val="32"/>
          <w:szCs w:val="32"/>
        </w:rPr>
        <w:t>（二）调研编写阶段（2023年3月）</w:t>
      </w:r>
      <w:r>
        <w:rPr>
          <w:rFonts w:hint="eastAsia" w:ascii="方正楷体_GBK" w:hAnsi="方正楷体_GBK" w:eastAsia="方正楷体_GBK" w:cs="方正楷体_GBK"/>
          <w:sz w:val="32"/>
          <w:szCs w:val="32"/>
        </w:rPr>
        <w:t>。</w:t>
      </w:r>
      <w:r>
        <w:rPr>
          <w:rFonts w:hint="eastAsia" w:ascii="Times New Roman" w:hAnsi="Times New Roman" w:eastAsia="方正仿宋_GBK" w:cs="Times New Roman"/>
          <w:sz w:val="32"/>
          <w:szCs w:val="32"/>
        </w:rPr>
        <w:t>在完成初步指标体系框架基础上，组织赴南通、江阴、张家港开展调研，听取口岸综合管理部门、查验单位、码头企业等单位意见建议，确定评价工作目标、形式和内容，初步形成评价指标框架内容。</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eastAsia" w:ascii="Times New Roman" w:hAnsi="Times New Roman" w:eastAsia="方正仿宋_GBK" w:cs="Times New Roman"/>
          <w:sz w:val="32"/>
          <w:szCs w:val="32"/>
        </w:rPr>
      </w:pPr>
      <w:r>
        <w:rPr>
          <w:rFonts w:hint="default" w:ascii="Times New Roman" w:hAnsi="Times New Roman" w:eastAsia="方正楷体_GBK" w:cs="Times New Roman"/>
          <w:sz w:val="32"/>
          <w:szCs w:val="32"/>
        </w:rPr>
        <w:t>（三）初稿形成阶段（2023年4月）</w:t>
      </w:r>
      <w:r>
        <w:rPr>
          <w:rFonts w:hint="eastAsia" w:ascii="Times New Roman" w:hAnsi="Times New Roman" w:eastAsia="方正仿宋_GBK" w:cs="Times New Roman"/>
          <w:sz w:val="32"/>
          <w:szCs w:val="32"/>
        </w:rPr>
        <w:t>。在确立指标框架内容过程中，多次召开专题座谈进行讨论研究，并</w:t>
      </w:r>
      <w:r>
        <w:rPr>
          <w:rFonts w:hint="eastAsia" w:eastAsia="方正仿宋_GBK" w:cs="Times New Roman"/>
          <w:sz w:val="32"/>
          <w:szCs w:val="32"/>
          <w:lang w:eastAsia="zh-CN"/>
        </w:rPr>
        <w:t>专门</w:t>
      </w:r>
      <w:r>
        <w:rPr>
          <w:rFonts w:hint="eastAsia" w:ascii="Times New Roman" w:hAnsi="Times New Roman" w:eastAsia="方正仿宋_GBK" w:cs="Times New Roman"/>
          <w:sz w:val="32"/>
          <w:szCs w:val="32"/>
        </w:rPr>
        <w:t>召集省</w:t>
      </w:r>
      <w:r>
        <w:rPr>
          <w:rFonts w:hint="eastAsia" w:eastAsia="方正仿宋_GBK" w:cs="Times New Roman"/>
          <w:sz w:val="32"/>
          <w:szCs w:val="32"/>
          <w:lang w:eastAsia="zh-CN"/>
        </w:rPr>
        <w:t>相关部门</w:t>
      </w:r>
      <w:r>
        <w:rPr>
          <w:rFonts w:hint="eastAsia" w:ascii="Times New Roman" w:hAnsi="Times New Roman" w:eastAsia="方正仿宋_GBK" w:cs="Times New Roman"/>
          <w:sz w:val="32"/>
          <w:szCs w:val="32"/>
        </w:rPr>
        <w:t>以及省级查验部门进行座谈，听取各方面意见，通过集思广益形成了《办法》初稿。</w:t>
      </w:r>
    </w:p>
    <w:p>
      <w:pPr>
        <w:keepNext w:val="0"/>
        <w:keepLines w:val="0"/>
        <w:pageBreakBefore w:val="0"/>
        <w:kinsoku/>
        <w:wordWrap/>
        <w:overflowPunct/>
        <w:topLinePunct w:val="0"/>
        <w:autoSpaceDE/>
        <w:autoSpaceDN/>
        <w:bidi w:val="0"/>
        <w:adjustRightInd/>
        <w:snapToGrid/>
        <w:spacing w:line="586" w:lineRule="exact"/>
        <w:ind w:firstLine="640" w:firstLineChars="200"/>
        <w:textAlignment w:val="auto"/>
        <w:rPr>
          <w:rFonts w:hint="eastAsia" w:ascii="方正仿宋_GBK" w:hAnsi="方正仿宋_GBK" w:eastAsia="方正仿宋_GBK" w:cs="方正仿宋_GBK"/>
          <w:b w:val="0"/>
          <w:bCs w:val="0"/>
          <w:i w:val="0"/>
          <w:iCs w:val="0"/>
          <w:color w:val="auto"/>
          <w:kern w:val="2"/>
          <w:sz w:val="32"/>
          <w:szCs w:val="32"/>
          <w:highlight w:val="none"/>
          <w:vertAlign w:val="baseline"/>
          <w:lang w:val="en-US" w:eastAsia="zh-CN" w:bidi="ar-SA"/>
        </w:rPr>
      </w:pPr>
      <w:r>
        <w:rPr>
          <w:rFonts w:hint="default" w:ascii="Times New Roman" w:hAnsi="Times New Roman" w:eastAsia="方正楷体_GBK" w:cs="Times New Roman"/>
          <w:sz w:val="32"/>
          <w:szCs w:val="32"/>
          <w:lang w:eastAsia="zh-CN"/>
        </w:rPr>
        <w:t>（四）征求意见阶段（</w:t>
      </w:r>
      <w:r>
        <w:rPr>
          <w:rFonts w:hint="default" w:ascii="Times New Roman" w:hAnsi="Times New Roman" w:eastAsia="方正楷体_GBK" w:cs="Times New Roman"/>
          <w:sz w:val="32"/>
          <w:szCs w:val="32"/>
          <w:lang w:val="en-US" w:eastAsia="zh-CN"/>
        </w:rPr>
        <w:t>2023年5月至6月</w:t>
      </w:r>
      <w:r>
        <w:rPr>
          <w:rFonts w:hint="default" w:ascii="Times New Roman" w:hAnsi="Times New Roman" w:eastAsia="方正楷体_GBK" w:cs="Times New Roman"/>
          <w:sz w:val="32"/>
          <w:szCs w:val="32"/>
          <w:lang w:eastAsia="zh-CN"/>
        </w:rPr>
        <w:t>）。</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5月4日，我厅发函征求省口岸工作领导小组</w:t>
      </w:r>
      <w:r>
        <w:rPr>
          <w:rFonts w:hint="eastAsia" w:eastAsia="方正仿宋_GBK" w:cs="Times New Roman"/>
          <w:b w:val="0"/>
          <w:bCs w:val="0"/>
          <w:i w:val="0"/>
          <w:iCs w:val="0"/>
          <w:color w:val="auto"/>
          <w:kern w:val="2"/>
          <w:sz w:val="32"/>
          <w:szCs w:val="32"/>
          <w:highlight w:val="none"/>
          <w:vertAlign w:val="baseline"/>
          <w:lang w:val="en-US" w:eastAsia="zh-CN" w:bidi="ar-SA"/>
        </w:rPr>
        <w:t>各</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成员单位和</w:t>
      </w:r>
      <w:r>
        <w:rPr>
          <w:rFonts w:hint="eastAsia" w:eastAsia="方正仿宋_GBK" w:cs="Times New Roman"/>
          <w:b w:val="0"/>
          <w:bCs w:val="0"/>
          <w:i w:val="0"/>
          <w:iCs w:val="0"/>
          <w:color w:val="auto"/>
          <w:kern w:val="2"/>
          <w:sz w:val="32"/>
          <w:szCs w:val="32"/>
          <w:highlight w:val="none"/>
          <w:vertAlign w:val="baseline"/>
          <w:lang w:val="en-US" w:eastAsia="zh-CN" w:bidi="ar-SA"/>
        </w:rPr>
        <w:t>各</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设区市人民政府意见建</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议。</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收到</w:t>
      </w:r>
      <w:r>
        <w:rPr>
          <w:rFonts w:hint="eastAsia" w:eastAsia="方正仿宋_GBK" w:cs="Times New Roman"/>
          <w:b w:val="0"/>
          <w:bCs w:val="0"/>
          <w:i w:val="0"/>
          <w:iCs w:val="0"/>
          <w:color w:val="auto"/>
          <w:kern w:val="2"/>
          <w:sz w:val="32"/>
          <w:szCs w:val="32"/>
          <w:highlight w:val="none"/>
          <w:vertAlign w:val="baseline"/>
          <w:lang w:val="en-US" w:eastAsia="zh-CN" w:bidi="ar-SA"/>
        </w:rPr>
        <w:t>4个</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成员单位共</w:t>
      </w:r>
      <w:r>
        <w:rPr>
          <w:rFonts w:hint="eastAsia" w:eastAsia="方正仿宋_GBK" w:cs="Times New Roman"/>
          <w:b w:val="0"/>
          <w:bCs w:val="0"/>
          <w:i w:val="0"/>
          <w:iCs w:val="0"/>
          <w:color w:val="auto"/>
          <w:kern w:val="2"/>
          <w:sz w:val="32"/>
          <w:szCs w:val="32"/>
          <w:highlight w:val="none"/>
          <w:vertAlign w:val="baseline"/>
          <w:lang w:val="en-US" w:eastAsia="zh-CN" w:bidi="ar-SA"/>
        </w:rPr>
        <w:t>12</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条意见，经认真研究分析，对其中</w:t>
      </w:r>
      <w:r>
        <w:rPr>
          <w:rFonts w:hint="eastAsia" w:eastAsia="方正仿宋_GBK" w:cs="Times New Roman"/>
          <w:b w:val="0"/>
          <w:bCs w:val="0"/>
          <w:i w:val="0"/>
          <w:iCs w:val="0"/>
          <w:color w:val="auto"/>
          <w:kern w:val="2"/>
          <w:sz w:val="32"/>
          <w:szCs w:val="32"/>
          <w:highlight w:val="none"/>
          <w:vertAlign w:val="baseline"/>
          <w:lang w:val="en-US" w:eastAsia="zh-CN" w:bidi="ar-SA"/>
        </w:rPr>
        <w:t>6</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条意见予以采纳，</w:t>
      </w:r>
      <w:r>
        <w:rPr>
          <w:rFonts w:hint="eastAsia" w:eastAsia="方正仿宋_GBK" w:cs="Times New Roman"/>
          <w:b w:val="0"/>
          <w:bCs w:val="0"/>
          <w:i w:val="0"/>
          <w:iCs w:val="0"/>
          <w:color w:val="auto"/>
          <w:kern w:val="2"/>
          <w:sz w:val="32"/>
          <w:szCs w:val="32"/>
          <w:highlight w:val="none"/>
          <w:vertAlign w:val="baseline"/>
          <w:lang w:val="en-US" w:eastAsia="zh-CN" w:bidi="ar-SA"/>
        </w:rPr>
        <w:t>4</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条部分采纳，</w:t>
      </w:r>
      <w:r>
        <w:rPr>
          <w:rFonts w:hint="eastAsia" w:eastAsia="方正仿宋_GBK" w:cs="Times New Roman"/>
          <w:b w:val="0"/>
          <w:bCs w:val="0"/>
          <w:i w:val="0"/>
          <w:iCs w:val="0"/>
          <w:color w:val="auto"/>
          <w:kern w:val="2"/>
          <w:sz w:val="32"/>
          <w:szCs w:val="32"/>
          <w:highlight w:val="none"/>
          <w:vertAlign w:val="baseline"/>
          <w:lang w:val="en-US" w:eastAsia="zh-CN" w:bidi="ar-SA"/>
        </w:rPr>
        <w:t>2</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条未予采纳，</w:t>
      </w:r>
      <w:r>
        <w:rPr>
          <w:rFonts w:hint="eastAsia" w:eastAsia="方正仿宋_GBK" w:cs="Times New Roman"/>
          <w:b w:val="0"/>
          <w:bCs w:val="0"/>
          <w:i w:val="0"/>
          <w:iCs w:val="0"/>
          <w:color w:val="auto"/>
          <w:kern w:val="2"/>
          <w:sz w:val="32"/>
          <w:szCs w:val="32"/>
          <w:highlight w:val="none"/>
          <w:vertAlign w:val="baseline"/>
          <w:lang w:val="en-US" w:eastAsia="zh-CN" w:bidi="ar-SA"/>
        </w:rPr>
        <w:t>6</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月</w:t>
      </w:r>
      <w:r>
        <w:rPr>
          <w:rFonts w:hint="eastAsia" w:eastAsia="方正仿宋_GBK" w:cs="Times New Roman"/>
          <w:b w:val="0"/>
          <w:bCs w:val="0"/>
          <w:i w:val="0"/>
          <w:iCs w:val="0"/>
          <w:color w:val="auto"/>
          <w:kern w:val="2"/>
          <w:sz w:val="32"/>
          <w:szCs w:val="32"/>
          <w:highlight w:val="none"/>
          <w:vertAlign w:val="baseline"/>
          <w:lang w:val="en-US" w:eastAsia="zh-CN" w:bidi="ar-SA"/>
        </w:rPr>
        <w:t>7</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日，我厅将意见采纳情况向相关部门进行了反馈，部分采纳和未采纳的</w:t>
      </w:r>
      <w:r>
        <w:rPr>
          <w:rFonts w:hint="eastAsia" w:eastAsia="方正仿宋_GBK" w:cs="Times New Roman"/>
          <w:b w:val="0"/>
          <w:bCs w:val="0"/>
          <w:i w:val="0"/>
          <w:iCs w:val="0"/>
          <w:color w:val="auto"/>
          <w:kern w:val="2"/>
          <w:sz w:val="32"/>
          <w:szCs w:val="32"/>
          <w:highlight w:val="none"/>
          <w:vertAlign w:val="baseline"/>
          <w:lang w:val="en-US" w:eastAsia="zh-CN" w:bidi="ar-SA"/>
        </w:rPr>
        <w:t>均</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已</w:t>
      </w:r>
      <w:r>
        <w:rPr>
          <w:rFonts w:hint="eastAsia" w:eastAsia="方正仿宋_GBK" w:cs="Times New Roman"/>
          <w:b w:val="0"/>
          <w:bCs w:val="0"/>
          <w:i w:val="0"/>
          <w:iCs w:val="0"/>
          <w:color w:val="auto"/>
          <w:kern w:val="2"/>
          <w:sz w:val="32"/>
          <w:szCs w:val="32"/>
          <w:highlight w:val="none"/>
          <w:vertAlign w:val="baseline"/>
          <w:lang w:val="en-US" w:eastAsia="zh-CN" w:bidi="ar-SA"/>
        </w:rPr>
        <w:t>沟通</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协商一致</w:t>
      </w:r>
      <w:r>
        <w:rPr>
          <w:rFonts w:hint="eastAsia" w:ascii="方正仿宋_GBK" w:hAnsi="方正仿宋_GBK" w:eastAsia="方正仿宋_GBK" w:cs="方正仿宋_GBK"/>
          <w:b w:val="0"/>
          <w:bCs w:val="0"/>
          <w:i w:val="0"/>
          <w:iCs w:val="0"/>
          <w:color w:val="auto"/>
          <w:kern w:val="2"/>
          <w:sz w:val="32"/>
          <w:szCs w:val="32"/>
          <w:highlight w:val="none"/>
          <w:vertAlign w:val="baseline"/>
          <w:lang w:val="en-US" w:eastAsia="zh-CN" w:bidi="ar-SA"/>
        </w:rPr>
        <w:t>。</w:t>
      </w:r>
    </w:p>
    <w:p>
      <w:pPr>
        <w:keepNext w:val="0"/>
        <w:keepLines w:val="0"/>
        <w:pageBreakBefore w:val="0"/>
        <w:widowControl w:val="0"/>
        <w:kinsoku/>
        <w:wordWrap/>
        <w:overflowPunct/>
        <w:topLinePunct w:val="0"/>
        <w:autoSpaceDE/>
        <w:autoSpaceDN/>
        <w:bidi w:val="0"/>
        <w:adjustRightInd/>
        <w:snapToGrid/>
        <w:spacing w:line="587" w:lineRule="exact"/>
        <w:ind w:firstLine="640"/>
        <w:textAlignment w:val="auto"/>
        <w:rPr>
          <w:rFonts w:hint="eastAsia" w:ascii="方正仿宋_GBK" w:hAnsi="方正仿宋_GBK" w:eastAsia="方正仿宋_GBK" w:cs="方正仿宋_GBK"/>
          <w:b w:val="0"/>
          <w:bCs w:val="0"/>
          <w:i w:val="0"/>
          <w:iCs w:val="0"/>
          <w:color w:val="auto"/>
          <w:kern w:val="2"/>
          <w:sz w:val="32"/>
          <w:szCs w:val="32"/>
          <w:highlight w:val="none"/>
          <w:vertAlign w:val="baseline"/>
          <w:lang w:val="en-US" w:eastAsia="zh-CN" w:bidi="ar-SA"/>
        </w:rPr>
      </w:pPr>
      <w:r>
        <w:rPr>
          <w:rFonts w:hint="default" w:ascii="Times New Roman" w:hAnsi="Times New Roman" w:eastAsia="方正楷体_GBK" w:cs="Times New Roman"/>
          <w:sz w:val="32"/>
          <w:szCs w:val="32"/>
          <w:lang w:eastAsia="zh-CN"/>
        </w:rPr>
        <w:t>（</w:t>
      </w:r>
      <w:r>
        <w:rPr>
          <w:rFonts w:hint="eastAsia" w:eastAsia="方正楷体_GBK" w:cs="Times New Roman"/>
          <w:sz w:val="32"/>
          <w:szCs w:val="32"/>
          <w:lang w:eastAsia="zh-CN"/>
        </w:rPr>
        <w:t>五</w:t>
      </w:r>
      <w:r>
        <w:rPr>
          <w:rFonts w:hint="default" w:ascii="Times New Roman" w:hAnsi="Times New Roman" w:eastAsia="方正楷体_GBK" w:cs="Times New Roman"/>
          <w:sz w:val="32"/>
          <w:szCs w:val="32"/>
          <w:lang w:eastAsia="zh-CN"/>
        </w:rPr>
        <w:t>）</w:t>
      </w:r>
      <w:r>
        <w:rPr>
          <w:rFonts w:hint="eastAsia" w:eastAsia="方正楷体_GBK" w:cs="Times New Roman"/>
          <w:sz w:val="32"/>
          <w:szCs w:val="32"/>
          <w:lang w:eastAsia="zh-CN"/>
        </w:rPr>
        <w:t>合法性审查</w:t>
      </w:r>
      <w:r>
        <w:rPr>
          <w:rFonts w:hint="default" w:ascii="Times New Roman" w:hAnsi="Times New Roman" w:eastAsia="方正楷体_GBK" w:cs="Times New Roman"/>
          <w:sz w:val="32"/>
          <w:szCs w:val="32"/>
          <w:lang w:eastAsia="zh-CN"/>
        </w:rPr>
        <w:t>阶段（</w:t>
      </w:r>
      <w:r>
        <w:rPr>
          <w:rFonts w:hint="default" w:ascii="Times New Roman" w:hAnsi="Times New Roman" w:eastAsia="方正楷体_GBK" w:cs="Times New Roman"/>
          <w:sz w:val="32"/>
          <w:szCs w:val="32"/>
          <w:lang w:val="en-US" w:eastAsia="zh-CN"/>
        </w:rPr>
        <w:t>2023年</w:t>
      </w:r>
      <w:r>
        <w:rPr>
          <w:rFonts w:hint="eastAsia" w:eastAsia="方正楷体_GBK" w:cs="Times New Roman"/>
          <w:sz w:val="32"/>
          <w:szCs w:val="32"/>
          <w:lang w:val="en-US" w:eastAsia="zh-CN"/>
        </w:rPr>
        <w:t>6</w:t>
      </w:r>
      <w:r>
        <w:rPr>
          <w:rFonts w:hint="default" w:ascii="Times New Roman" w:hAnsi="Times New Roman" w:eastAsia="方正楷体_GBK" w:cs="Times New Roman"/>
          <w:sz w:val="32"/>
          <w:szCs w:val="32"/>
          <w:lang w:val="en-US" w:eastAsia="zh-CN"/>
        </w:rPr>
        <w:t>月</w:t>
      </w:r>
      <w:r>
        <w:rPr>
          <w:rFonts w:hint="default" w:ascii="Times New Roman" w:hAnsi="Times New Roman" w:eastAsia="方正楷体_GBK" w:cs="Times New Roman"/>
          <w:sz w:val="32"/>
          <w:szCs w:val="32"/>
          <w:lang w:eastAsia="zh-CN"/>
        </w:rPr>
        <w:t>）</w:t>
      </w:r>
      <w:r>
        <w:rPr>
          <w:rFonts w:hint="eastAsia" w:eastAsia="方正楷体_GBK" w:cs="Times New Roman"/>
          <w:sz w:val="32"/>
          <w:szCs w:val="32"/>
          <w:lang w:eastAsia="zh-CN"/>
        </w:rPr>
        <w:t>。</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6月</w:t>
      </w:r>
      <w:r>
        <w:rPr>
          <w:rFonts w:hint="eastAsia" w:eastAsia="方正仿宋_GBK" w:cs="Times New Roman"/>
          <w:b w:val="0"/>
          <w:bCs w:val="0"/>
          <w:i w:val="0"/>
          <w:iCs w:val="0"/>
          <w:color w:val="auto"/>
          <w:kern w:val="2"/>
          <w:sz w:val="32"/>
          <w:szCs w:val="32"/>
          <w:highlight w:val="none"/>
          <w:vertAlign w:val="baseline"/>
          <w:lang w:val="en-US" w:eastAsia="zh-CN" w:bidi="ar-SA"/>
        </w:rPr>
        <w:t>中旬</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，将修改完善后的</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w:t>
      </w:r>
      <w:r>
        <w:rPr>
          <w:rFonts w:hint="eastAsia" w:eastAsia="方正仿宋_GBK" w:cs="Times New Roman"/>
          <w:sz w:val="32"/>
          <w:szCs w:val="32"/>
          <w:lang w:eastAsia="zh-CN"/>
        </w:rPr>
        <w:t>办法</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》（征求意见</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修改</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稿）</w:t>
      </w:r>
      <w:r>
        <w:rPr>
          <w:rFonts w:hint="eastAsia" w:eastAsia="方正仿宋_GBK" w:cs="Times New Roman"/>
          <w:b w:val="0"/>
          <w:bCs w:val="0"/>
          <w:i w:val="0"/>
          <w:iCs w:val="0"/>
          <w:color w:val="auto"/>
          <w:kern w:val="2"/>
          <w:sz w:val="32"/>
          <w:szCs w:val="32"/>
          <w:highlight w:val="none"/>
          <w:vertAlign w:val="baseline"/>
          <w:lang w:val="en-US" w:eastAsia="zh-CN" w:bidi="ar-SA"/>
        </w:rPr>
        <w:t>提请开展</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公平竞争审查</w:t>
      </w:r>
      <w:r>
        <w:rPr>
          <w:rFonts w:hint="eastAsia" w:eastAsia="方正仿宋_GBK" w:cs="Times New Roman"/>
          <w:b w:val="0"/>
          <w:bCs w:val="0"/>
          <w:i w:val="0"/>
          <w:iCs w:val="0"/>
          <w:color w:val="auto"/>
          <w:kern w:val="2"/>
          <w:sz w:val="32"/>
          <w:szCs w:val="32"/>
          <w:highlight w:val="none"/>
          <w:vertAlign w:val="baseline"/>
          <w:lang w:val="en-US" w:eastAsia="zh-CN" w:bidi="ar-SA"/>
        </w:rPr>
        <w:t>和</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合法性审核。</w:t>
      </w:r>
      <w:r>
        <w:rPr>
          <w:rFonts w:hint="eastAsia" w:eastAsia="方正仿宋_GBK" w:cs="Times New Roman"/>
          <w:b w:val="0"/>
          <w:bCs w:val="0"/>
          <w:i w:val="0"/>
          <w:iCs w:val="0"/>
          <w:color w:val="auto"/>
          <w:kern w:val="2"/>
          <w:sz w:val="32"/>
          <w:szCs w:val="32"/>
          <w:highlight w:val="none"/>
          <w:vertAlign w:val="baseline"/>
          <w:lang w:val="en-US" w:eastAsia="zh-CN" w:bidi="ar-SA"/>
        </w:rPr>
        <w:t>并会同</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厅法律</w:t>
      </w:r>
      <w:r>
        <w:rPr>
          <w:rFonts w:hint="eastAsia" w:eastAsia="方正仿宋_GBK" w:cs="Times New Roman"/>
          <w:b w:val="0"/>
          <w:bCs w:val="0"/>
          <w:i w:val="0"/>
          <w:iCs w:val="0"/>
          <w:color w:val="auto"/>
          <w:kern w:val="2"/>
          <w:sz w:val="32"/>
          <w:szCs w:val="32"/>
          <w:highlight w:val="none"/>
          <w:vertAlign w:val="baseline"/>
          <w:lang w:val="en-US" w:eastAsia="zh-CN" w:bidi="ar-SA"/>
        </w:rPr>
        <w:t>部门</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共同对</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w:t>
      </w:r>
      <w:r>
        <w:rPr>
          <w:rFonts w:hint="eastAsia" w:eastAsia="方正仿宋_GBK" w:cs="Times New Roman"/>
          <w:sz w:val="32"/>
          <w:szCs w:val="32"/>
          <w:lang w:eastAsia="zh-CN"/>
        </w:rPr>
        <w:t>办法</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》（征求意见</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修改</w:t>
      </w:r>
      <w:r>
        <w:rPr>
          <w:rFonts w:hint="default" w:ascii="Times New Roman" w:hAnsi="Times New Roman" w:eastAsia="方正仿宋_GBK" w:cs="Times New Roman"/>
          <w:b w:val="0"/>
          <w:bCs w:val="0"/>
          <w:i w:val="0"/>
          <w:iCs w:val="0"/>
          <w:color w:val="auto"/>
          <w:kern w:val="2"/>
          <w:sz w:val="32"/>
          <w:szCs w:val="32"/>
          <w:highlight w:val="none"/>
          <w:vertAlign w:val="baseline"/>
          <w:lang w:val="en-US" w:eastAsia="zh-CN" w:bidi="ar-SA"/>
        </w:rPr>
        <w:t>稿）</w:t>
      </w:r>
      <w:r>
        <w:rPr>
          <w:rFonts w:hint="eastAsia" w:ascii="Times New Roman" w:hAnsi="Times New Roman" w:eastAsia="方正仿宋_GBK" w:cs="Times New Roman"/>
          <w:b w:val="0"/>
          <w:bCs w:val="0"/>
          <w:i w:val="0"/>
          <w:iCs w:val="0"/>
          <w:color w:val="auto"/>
          <w:kern w:val="2"/>
          <w:sz w:val="32"/>
          <w:szCs w:val="32"/>
          <w:highlight w:val="none"/>
          <w:vertAlign w:val="baseline"/>
          <w:lang w:val="en-US" w:eastAsia="zh-CN" w:bidi="ar-SA"/>
        </w:rPr>
        <w:t>相关内容作进一步修改完善，形成目前相对成熟的征求意见修改稿。</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黑体" w:hAnsi="黑体" w:eastAsia="黑体"/>
          <w:color w:val="000000"/>
          <w:kern w:val="0"/>
          <w:sz w:val="32"/>
          <w:szCs w:val="32"/>
        </w:rPr>
      </w:pPr>
      <w:r>
        <w:rPr>
          <w:rFonts w:hint="eastAsia" w:ascii="黑体" w:hAnsi="黑体" w:eastAsia="黑体"/>
          <w:color w:val="000000"/>
          <w:kern w:val="0"/>
          <w:sz w:val="32"/>
          <w:szCs w:val="32"/>
        </w:rPr>
        <w:t>三、《办法》主要内容</w:t>
      </w:r>
    </w:p>
    <w:p>
      <w:pPr>
        <w:keepNext w:val="0"/>
        <w:keepLines w:val="0"/>
        <w:pageBreakBefore w:val="0"/>
        <w:widowControl w:val="0"/>
        <w:kinsoku/>
        <w:wordWrap/>
        <w:overflowPunct/>
        <w:topLinePunct w:val="0"/>
        <w:autoSpaceDE/>
        <w:autoSpaceDN/>
        <w:bidi w:val="0"/>
        <w:adjustRightInd/>
        <w:snapToGrid/>
        <w:spacing w:line="587" w:lineRule="exact"/>
        <w:ind w:firstLine="64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《办法》主要包括</w:t>
      </w:r>
      <w:r>
        <w:rPr>
          <w:rFonts w:hint="eastAsia" w:ascii="Times New Roman" w:hAnsi="Times New Roman" w:eastAsia="方正仿宋_GBK" w:cs="Times New Roman"/>
          <w:sz w:val="32"/>
          <w:szCs w:val="32"/>
          <w:lang w:val="en-US" w:eastAsia="zh-CN"/>
        </w:rPr>
        <w:t>6</w:t>
      </w:r>
      <w:r>
        <w:rPr>
          <w:rFonts w:hint="eastAsia" w:ascii="Times New Roman" w:hAnsi="Times New Roman" w:eastAsia="方正仿宋_GBK" w:cs="Times New Roman"/>
          <w:sz w:val="32"/>
          <w:szCs w:val="32"/>
        </w:rPr>
        <w:t>章</w:t>
      </w:r>
      <w:r>
        <w:rPr>
          <w:rFonts w:hint="eastAsia" w:ascii="Times New Roman" w:hAnsi="Times New Roman" w:eastAsia="方正仿宋_GBK" w:cs="Times New Roman"/>
          <w:sz w:val="32"/>
          <w:szCs w:val="32"/>
          <w:lang w:val="en-US" w:eastAsia="zh-CN"/>
        </w:rPr>
        <w:t>20</w:t>
      </w:r>
      <w:r>
        <w:rPr>
          <w:rFonts w:hint="eastAsia" w:ascii="Times New Roman" w:hAnsi="Times New Roman" w:eastAsia="方正仿宋_GBK" w:cs="Times New Roman"/>
          <w:sz w:val="32"/>
          <w:szCs w:val="32"/>
        </w:rPr>
        <w:t>条：</w:t>
      </w:r>
    </w:p>
    <w:p>
      <w:pPr>
        <w:keepNext w:val="0"/>
        <w:keepLines w:val="0"/>
        <w:pageBreakBefore w:val="0"/>
        <w:widowControl w:val="0"/>
        <w:kinsoku/>
        <w:wordWrap/>
        <w:overflowPunct/>
        <w:topLinePunct w:val="0"/>
        <w:autoSpaceDE/>
        <w:autoSpaceDN/>
        <w:bidi w:val="0"/>
        <w:adjustRightInd/>
        <w:snapToGrid/>
        <w:spacing w:line="587" w:lineRule="exact"/>
        <w:ind w:firstLine="640"/>
        <w:textAlignment w:val="auto"/>
        <w:rPr>
          <w:rFonts w:hint="eastAsia" w:eastAsia="方正仿宋_GBK" w:cs="Times New Roman"/>
          <w:sz w:val="32"/>
          <w:szCs w:val="32"/>
          <w:lang w:eastAsia="zh-CN"/>
        </w:rPr>
      </w:pPr>
      <w:r>
        <w:rPr>
          <w:rFonts w:hint="eastAsia" w:eastAsia="方正仿宋_GBK" w:cs="Times New Roman"/>
          <w:sz w:val="32"/>
          <w:szCs w:val="32"/>
          <w:lang w:eastAsia="zh-CN"/>
        </w:rPr>
        <w:t>第一章“总则”共</w:t>
      </w:r>
      <w:r>
        <w:rPr>
          <w:rFonts w:hint="eastAsia" w:eastAsia="方正仿宋_GBK" w:cs="Times New Roman"/>
          <w:sz w:val="32"/>
          <w:szCs w:val="32"/>
          <w:lang w:val="en-US" w:eastAsia="zh-CN"/>
        </w:rPr>
        <w:t>6</w:t>
      </w:r>
      <w:r>
        <w:rPr>
          <w:rFonts w:hint="eastAsia" w:eastAsia="方正仿宋_GBK" w:cs="Times New Roman"/>
          <w:sz w:val="32"/>
          <w:szCs w:val="32"/>
          <w:lang w:eastAsia="zh-CN"/>
        </w:rPr>
        <w:t>条，</w:t>
      </w:r>
      <w:r>
        <w:rPr>
          <w:rFonts w:hint="eastAsia" w:ascii="Times New Roman" w:hAnsi="Times New Roman" w:eastAsia="方正仿宋_GBK" w:cs="Times New Roman"/>
          <w:sz w:val="32"/>
          <w:szCs w:val="32"/>
        </w:rPr>
        <w:t>主要阐述开放码头运营管理绩效评价的目的、适用对象</w:t>
      </w:r>
      <w:r>
        <w:rPr>
          <w:rFonts w:hint="eastAsia" w:ascii="Times New Roman" w:hAnsi="Times New Roman" w:eastAsia="方正仿宋_GBK" w:cs="Times New Roman"/>
          <w:sz w:val="32"/>
          <w:szCs w:val="32"/>
          <w:lang w:eastAsia="zh-CN"/>
        </w:rPr>
        <w:t>、适用范围</w:t>
      </w:r>
      <w:r>
        <w:rPr>
          <w:rFonts w:hint="eastAsia" w:ascii="Times New Roman" w:hAnsi="Times New Roman" w:eastAsia="方正仿宋_GBK" w:cs="Times New Roman"/>
          <w:sz w:val="32"/>
          <w:szCs w:val="32"/>
        </w:rPr>
        <w:t>，</w:t>
      </w:r>
      <w:r>
        <w:rPr>
          <w:rFonts w:hint="eastAsia" w:eastAsia="方正仿宋_GBK" w:cs="Times New Roman"/>
          <w:sz w:val="32"/>
          <w:szCs w:val="32"/>
          <w:lang w:eastAsia="zh-CN"/>
        </w:rPr>
        <w:t>评估内容</w:t>
      </w:r>
      <w:r>
        <w:rPr>
          <w:rFonts w:hint="eastAsia" w:ascii="Times New Roman" w:hAnsi="Times New Roman" w:eastAsia="方正仿宋_GBK" w:cs="Times New Roman"/>
          <w:sz w:val="32"/>
          <w:szCs w:val="32"/>
        </w:rPr>
        <w:t>、数据来源</w:t>
      </w:r>
      <w:r>
        <w:rPr>
          <w:rFonts w:hint="eastAsia" w:eastAsia="方正仿宋_GBK" w:cs="Times New Roman"/>
          <w:sz w:val="32"/>
          <w:szCs w:val="32"/>
          <w:lang w:eastAsia="zh-CN"/>
        </w:rPr>
        <w:t>、组织实施</w:t>
      </w:r>
      <w:r>
        <w:rPr>
          <w:rFonts w:hint="eastAsia" w:ascii="Times New Roman" w:hAnsi="Times New Roman" w:eastAsia="方正仿宋_GBK" w:cs="Times New Roman"/>
          <w:sz w:val="32"/>
          <w:szCs w:val="32"/>
        </w:rPr>
        <w:t>。</w:t>
      </w:r>
      <w:r>
        <w:rPr>
          <w:rFonts w:hint="eastAsia" w:eastAsia="方正仿宋_GBK" w:cs="Times New Roman"/>
          <w:sz w:val="32"/>
          <w:szCs w:val="32"/>
          <w:lang w:eastAsia="zh-CN"/>
        </w:rPr>
        <w:t>其中，第一条明确了《办法》制定的依据是</w:t>
      </w:r>
      <w:r>
        <w:rPr>
          <w:rFonts w:hint="eastAsia" w:ascii="Times New Roman" w:hAnsi="Times New Roman" w:eastAsia="方正仿宋_GBK" w:cs="Times New Roman"/>
          <w:sz w:val="32"/>
          <w:szCs w:val="32"/>
        </w:rPr>
        <w:t>《国家</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十四五</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口岸发展规划》《江苏省水运口岸码头泊位开放管理服务办法（试行）》</w:t>
      </w:r>
      <w:r>
        <w:rPr>
          <w:rFonts w:hint="eastAsia" w:eastAsia="方正仿宋_GBK" w:cs="Times New Roman"/>
          <w:sz w:val="32"/>
          <w:szCs w:val="32"/>
          <w:lang w:eastAsia="zh-CN"/>
        </w:rPr>
        <w:t>，目的为</w:t>
      </w:r>
      <w:r>
        <w:rPr>
          <w:rFonts w:hint="eastAsia" w:ascii="Times New Roman" w:hAnsi="Times New Roman" w:eastAsia="方正仿宋_GBK" w:cs="Times New Roman"/>
          <w:sz w:val="32"/>
          <w:szCs w:val="32"/>
        </w:rPr>
        <w:t>优化</w:t>
      </w:r>
      <w:r>
        <w:rPr>
          <w:rFonts w:hint="eastAsia" w:eastAsia="方正仿宋_GBK" w:cs="Times New Roman"/>
          <w:sz w:val="32"/>
          <w:szCs w:val="32"/>
          <w:lang w:eastAsia="zh-CN"/>
        </w:rPr>
        <w:t>水运</w:t>
      </w:r>
      <w:r>
        <w:rPr>
          <w:rFonts w:hint="eastAsia" w:ascii="Times New Roman" w:hAnsi="Times New Roman" w:eastAsia="方正仿宋_GBK" w:cs="Times New Roman"/>
          <w:sz w:val="32"/>
          <w:szCs w:val="32"/>
        </w:rPr>
        <w:t>口岸资源配置，提高开放整体效益</w:t>
      </w:r>
      <w:r>
        <w:rPr>
          <w:rFonts w:hint="eastAsia" w:eastAsia="方正仿宋_GBK" w:cs="Times New Roman"/>
          <w:sz w:val="32"/>
          <w:szCs w:val="32"/>
          <w:lang w:eastAsia="zh-CN"/>
        </w:rPr>
        <w:t>；第二条明确了绩效评价的适用对象；第三条至第五条明确了绩效评价的主要内容、适用环节、数据来源；第六条</w:t>
      </w:r>
      <w:r>
        <w:rPr>
          <w:rFonts w:hint="eastAsia" w:eastAsia="方正仿宋_GBK"/>
          <w:sz w:val="32"/>
          <w:szCs w:val="32"/>
          <w:lang w:eastAsia="zh-CN"/>
        </w:rPr>
        <w:t>明确了评价实施主体及</w:t>
      </w:r>
      <w:r>
        <w:rPr>
          <w:rFonts w:hint="eastAsia" w:ascii="Times New Roman" w:hAnsi="Times New Roman" w:eastAsia="方正仿宋_GBK"/>
          <w:sz w:val="32"/>
          <w:szCs w:val="32"/>
          <w:lang w:val="en" w:eastAsia="zh-CN"/>
        </w:rPr>
        <w:t>联合</w:t>
      </w:r>
      <w:r>
        <w:rPr>
          <w:rFonts w:hint="eastAsia" w:eastAsia="方正仿宋_GBK" w:cs="Times New Roman"/>
          <w:sz w:val="32"/>
          <w:szCs w:val="32"/>
          <w:lang w:eastAsia="zh-CN"/>
        </w:rPr>
        <w:t>组织实施的成员单位</w:t>
      </w:r>
      <w:r>
        <w:rPr>
          <w:rFonts w:hint="eastAsia" w:eastAsia="方正仿宋_GBK"/>
          <w:sz w:val="32"/>
          <w:szCs w:val="32"/>
          <w:lang w:eastAsia="zh-CN"/>
        </w:rPr>
        <w:t>。</w:t>
      </w:r>
    </w:p>
    <w:p>
      <w:pPr>
        <w:widowControl/>
        <w:spacing w:line="586" w:lineRule="exact"/>
        <w:ind w:firstLine="640" w:firstLineChars="200"/>
        <w:rPr>
          <w:rFonts w:hint="eastAsia" w:eastAsia="方正仿宋_GBK"/>
          <w:sz w:val="32"/>
          <w:szCs w:val="32"/>
          <w:lang w:val="en" w:eastAsia="zh-CN"/>
        </w:rPr>
      </w:pPr>
      <w:r>
        <w:rPr>
          <w:rFonts w:hint="eastAsia" w:ascii="Times New Roman" w:hAnsi="Times New Roman" w:eastAsia="方正仿宋_GBK" w:cs="Times New Roman"/>
          <w:sz w:val="32"/>
          <w:szCs w:val="32"/>
        </w:rPr>
        <w:t>第二章</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组织实施</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共</w:t>
      </w:r>
      <w:r>
        <w:rPr>
          <w:rFonts w:hint="eastAsia" w:eastAsia="方正仿宋_GBK" w:cs="Times New Roman"/>
          <w:sz w:val="32"/>
          <w:szCs w:val="32"/>
          <w:lang w:val="en-US" w:eastAsia="zh-CN"/>
        </w:rPr>
        <w:t>3</w:t>
      </w:r>
      <w:r>
        <w:rPr>
          <w:rFonts w:hint="eastAsia" w:ascii="Times New Roman" w:hAnsi="Times New Roman" w:eastAsia="方正仿宋_GBK" w:cs="Times New Roman"/>
          <w:sz w:val="32"/>
          <w:szCs w:val="32"/>
        </w:rPr>
        <w:t>条，主要阐述开放码头运营管理绩效评价的职责分工</w:t>
      </w:r>
      <w:r>
        <w:rPr>
          <w:rFonts w:hint="eastAsia" w:eastAsia="方正仿宋_GBK" w:cs="Times New Roman"/>
          <w:sz w:val="32"/>
          <w:szCs w:val="32"/>
          <w:lang w:eastAsia="zh-CN"/>
        </w:rPr>
        <w:t>、信息沟通、</w:t>
      </w:r>
      <w:r>
        <w:rPr>
          <w:rFonts w:hint="eastAsia" w:ascii="Times New Roman" w:hAnsi="Times New Roman" w:eastAsia="方正仿宋_GBK" w:cs="Times New Roman"/>
          <w:sz w:val="32"/>
          <w:szCs w:val="32"/>
        </w:rPr>
        <w:t>评</w:t>
      </w:r>
      <w:r>
        <w:rPr>
          <w:rFonts w:hint="eastAsia" w:eastAsia="方正仿宋_GBK" w:cs="Times New Roman"/>
          <w:sz w:val="32"/>
          <w:szCs w:val="32"/>
          <w:lang w:eastAsia="zh-CN"/>
        </w:rPr>
        <w:t>估环节</w:t>
      </w:r>
      <w:r>
        <w:rPr>
          <w:rFonts w:hint="eastAsia" w:ascii="Times New Roman" w:hAnsi="Times New Roman" w:eastAsia="方正仿宋_GBK" w:cs="Times New Roman"/>
          <w:sz w:val="32"/>
          <w:szCs w:val="32"/>
        </w:rPr>
        <w:t>。</w:t>
      </w:r>
      <w:r>
        <w:rPr>
          <w:rFonts w:hint="eastAsia" w:eastAsia="方正仿宋_GBK" w:cs="Times New Roman"/>
          <w:sz w:val="32"/>
          <w:szCs w:val="32"/>
          <w:lang w:eastAsia="zh-CN"/>
        </w:rPr>
        <w:t>其中，第七条明确了绩效评价组织实施主体、考评小组、</w:t>
      </w:r>
      <w:r>
        <w:rPr>
          <w:rFonts w:hint="eastAsia" w:ascii="Times New Roman" w:hAnsi="Times New Roman" w:eastAsia="方正仿宋_GBK"/>
          <w:sz w:val="32"/>
          <w:szCs w:val="32"/>
        </w:rPr>
        <w:t>第三方机构</w:t>
      </w:r>
      <w:r>
        <w:rPr>
          <w:rFonts w:hint="eastAsia" w:eastAsia="方正仿宋_GBK" w:cs="Times New Roman"/>
          <w:sz w:val="32"/>
          <w:szCs w:val="32"/>
          <w:lang w:eastAsia="zh-CN"/>
        </w:rPr>
        <w:t>各自的职责；第八条及第九条明确了</w:t>
      </w:r>
      <w:r>
        <w:rPr>
          <w:rFonts w:hint="eastAsia" w:ascii="Times New Roman" w:hAnsi="Times New Roman" w:eastAsia="方正仿宋_GBK"/>
          <w:sz w:val="32"/>
          <w:szCs w:val="32"/>
          <w:lang w:val="en" w:eastAsia="zh-CN"/>
        </w:rPr>
        <w:t>考评小组成员单位</w:t>
      </w:r>
      <w:r>
        <w:rPr>
          <w:rFonts w:hint="eastAsia" w:eastAsia="方正仿宋_GBK"/>
          <w:sz w:val="32"/>
          <w:szCs w:val="32"/>
          <w:lang w:val="en" w:eastAsia="zh-CN"/>
        </w:rPr>
        <w:t>信息通报与采用，评价的环节与要求。</w:t>
      </w:r>
    </w:p>
    <w:p>
      <w:pPr>
        <w:widowControl/>
        <w:spacing w:line="586" w:lineRule="exact"/>
        <w:ind w:firstLine="640" w:firstLineChars="200"/>
        <w:rPr>
          <w:rFonts w:ascii="Times New Roman" w:hAnsi="Times New Roman" w:eastAsia="方正仿宋_GBK"/>
          <w:sz w:val="32"/>
          <w:szCs w:val="32"/>
        </w:rPr>
      </w:pPr>
      <w:r>
        <w:rPr>
          <w:rFonts w:hint="eastAsia" w:ascii="Times New Roman" w:hAnsi="Times New Roman" w:eastAsia="方正仿宋_GBK" w:cs="Times New Roman"/>
          <w:sz w:val="32"/>
          <w:szCs w:val="32"/>
        </w:rPr>
        <w:t>第三章</w:t>
      </w:r>
      <w:r>
        <w:rPr>
          <w:rFonts w:hint="eastAsia" w:eastAsia="方正仿宋_GBK" w:cs="Times New Roman"/>
          <w:sz w:val="32"/>
          <w:szCs w:val="32"/>
          <w:lang w:eastAsia="zh-CN"/>
        </w:rPr>
        <w:t>“指标体系”共</w:t>
      </w:r>
      <w:r>
        <w:rPr>
          <w:rFonts w:hint="eastAsia" w:eastAsia="方正仿宋_GBK" w:cs="Times New Roman"/>
          <w:sz w:val="32"/>
          <w:szCs w:val="32"/>
          <w:lang w:val="en-US" w:eastAsia="zh-CN"/>
        </w:rPr>
        <w:t>3条，</w:t>
      </w:r>
      <w:r>
        <w:rPr>
          <w:rFonts w:hint="eastAsia" w:ascii="Times New Roman" w:hAnsi="Times New Roman" w:eastAsia="方正仿宋_GBK" w:cs="Times New Roman"/>
          <w:sz w:val="32"/>
          <w:szCs w:val="32"/>
        </w:rPr>
        <w:t>主要阐述开放码头运营管理绩效评价的</w:t>
      </w:r>
      <w:r>
        <w:rPr>
          <w:rFonts w:hint="eastAsia" w:eastAsia="方正仿宋_GBK" w:cs="Times New Roman"/>
          <w:sz w:val="32"/>
          <w:szCs w:val="32"/>
          <w:lang w:eastAsia="zh-CN"/>
        </w:rPr>
        <w:t>基本原则，码头分类、指标体系组成及调整。其中，第十条明确了</w:t>
      </w:r>
      <w:r>
        <w:rPr>
          <w:rFonts w:hint="eastAsia" w:eastAsia="方正仿宋_GBK"/>
          <w:sz w:val="32"/>
          <w:szCs w:val="32"/>
          <w:lang w:eastAsia="zh-CN"/>
        </w:rPr>
        <w:t>绩效评价应</w:t>
      </w:r>
      <w:r>
        <w:rPr>
          <w:rFonts w:hint="eastAsia" w:ascii="Times New Roman" w:hAnsi="Times New Roman" w:eastAsia="方正仿宋_GBK"/>
          <w:sz w:val="32"/>
          <w:szCs w:val="32"/>
        </w:rPr>
        <w:t>遵循科学合理、导向引领、分类管理、公开透明的原则</w:t>
      </w:r>
      <w:r>
        <w:rPr>
          <w:rFonts w:hint="eastAsia" w:eastAsia="方正仿宋_GBK" w:cs="Times New Roman"/>
          <w:sz w:val="32"/>
          <w:szCs w:val="32"/>
          <w:lang w:eastAsia="zh-CN"/>
        </w:rPr>
        <w:t>；第十一条明确了绩效评价对象</w:t>
      </w:r>
      <w:r>
        <w:rPr>
          <w:rFonts w:hint="eastAsia" w:ascii="Times New Roman" w:hAnsi="Times New Roman" w:eastAsia="方正仿宋_GBK"/>
          <w:sz w:val="32"/>
          <w:szCs w:val="32"/>
        </w:rPr>
        <w:t>分为散杂货、集装箱、危化品、修造船（舾装）四类</w:t>
      </w:r>
      <w:r>
        <w:rPr>
          <w:rFonts w:hint="eastAsia" w:eastAsia="方正仿宋_GBK"/>
          <w:sz w:val="32"/>
          <w:szCs w:val="32"/>
          <w:lang w:eastAsia="zh-CN"/>
        </w:rPr>
        <w:t>；第十二条明确了评价</w:t>
      </w:r>
      <w:r>
        <w:rPr>
          <w:rFonts w:hint="eastAsia" w:ascii="Times New Roman" w:hAnsi="Times New Roman" w:eastAsia="方正仿宋_GBK"/>
          <w:sz w:val="32"/>
          <w:szCs w:val="32"/>
        </w:rPr>
        <w:t>指标体系包含运营发展、效能水平、绿色安全</w:t>
      </w:r>
      <w:r>
        <w:rPr>
          <w:rFonts w:hint="eastAsia" w:ascii="Times New Roman" w:hAnsi="Times New Roman" w:eastAsia="方正仿宋_GBK"/>
          <w:sz w:val="32"/>
          <w:szCs w:val="32"/>
          <w:lang w:val="en-US" w:eastAsia="zh-CN"/>
        </w:rPr>
        <w:t>3</w:t>
      </w:r>
      <w:r>
        <w:rPr>
          <w:rFonts w:hint="eastAsia" w:ascii="Times New Roman" w:hAnsi="Times New Roman" w:eastAsia="方正仿宋_GBK"/>
          <w:sz w:val="32"/>
          <w:szCs w:val="32"/>
        </w:rPr>
        <w:t>大类一级指标，每项一级指标分别细化设定若干二级指标。</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default" w:ascii="Times New Roman" w:hAnsi="Times New Roman" w:eastAsia="方正仿宋_GBK" w:cs="Times New Roman"/>
          <w:sz w:val="32"/>
          <w:szCs w:val="32"/>
          <w:lang w:val="en-US" w:eastAsia="zh-CN"/>
        </w:rPr>
      </w:pPr>
      <w:r>
        <w:rPr>
          <w:rFonts w:hint="eastAsia" w:eastAsia="方正仿宋_GBK" w:cs="Times New Roman"/>
          <w:sz w:val="32"/>
          <w:szCs w:val="32"/>
          <w:lang w:eastAsia="zh-CN"/>
        </w:rPr>
        <w:t>第四章“</w:t>
      </w:r>
      <w:r>
        <w:rPr>
          <w:rFonts w:hint="eastAsia" w:ascii="Times New Roman" w:hAnsi="Times New Roman" w:eastAsia="方正仿宋_GBK" w:cs="Times New Roman"/>
          <w:sz w:val="32"/>
          <w:szCs w:val="32"/>
        </w:rPr>
        <w:t>评</w:t>
      </w:r>
      <w:r>
        <w:rPr>
          <w:rFonts w:hint="eastAsia" w:eastAsia="方正仿宋_GBK" w:cs="Times New Roman"/>
          <w:sz w:val="32"/>
          <w:szCs w:val="32"/>
          <w:lang w:eastAsia="zh-CN"/>
        </w:rPr>
        <w:t>价</w:t>
      </w:r>
      <w:r>
        <w:rPr>
          <w:rFonts w:hint="eastAsia" w:ascii="Times New Roman" w:hAnsi="Times New Roman" w:eastAsia="方正仿宋_GBK" w:cs="Times New Roman"/>
          <w:sz w:val="32"/>
          <w:szCs w:val="32"/>
        </w:rPr>
        <w:t>程序</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共</w:t>
      </w:r>
      <w:r>
        <w:rPr>
          <w:rFonts w:hint="eastAsia" w:eastAsia="方正仿宋_GBK" w:cs="Times New Roman"/>
          <w:sz w:val="32"/>
          <w:szCs w:val="32"/>
          <w:lang w:val="en-US" w:eastAsia="zh-CN"/>
        </w:rPr>
        <w:t>5</w:t>
      </w:r>
      <w:r>
        <w:rPr>
          <w:rFonts w:hint="eastAsia" w:ascii="Times New Roman" w:hAnsi="Times New Roman" w:eastAsia="方正仿宋_GBK" w:cs="Times New Roman"/>
          <w:sz w:val="32"/>
          <w:szCs w:val="32"/>
        </w:rPr>
        <w:t>条，主要阐述开放码头运营管理绩效评价的起止时间</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数据收集、</w:t>
      </w:r>
      <w:r>
        <w:rPr>
          <w:rFonts w:hint="eastAsia" w:eastAsia="方正仿宋_GBK" w:cs="Times New Roman"/>
          <w:sz w:val="32"/>
          <w:szCs w:val="32"/>
          <w:lang w:eastAsia="zh-CN"/>
        </w:rPr>
        <w:t>数据</w:t>
      </w:r>
      <w:r>
        <w:rPr>
          <w:rFonts w:hint="eastAsia" w:ascii="Times New Roman" w:hAnsi="Times New Roman" w:eastAsia="方正仿宋_GBK" w:cs="Times New Roman"/>
          <w:sz w:val="32"/>
          <w:szCs w:val="32"/>
        </w:rPr>
        <w:t>审核、等级划分</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结果发布。</w:t>
      </w:r>
      <w:r>
        <w:rPr>
          <w:rFonts w:hint="eastAsia" w:eastAsia="方正仿宋_GBK" w:cs="Times New Roman"/>
          <w:sz w:val="32"/>
          <w:szCs w:val="32"/>
          <w:lang w:eastAsia="zh-CN"/>
        </w:rPr>
        <w:t>其中，第十三条明确了</w:t>
      </w:r>
      <w:r>
        <w:rPr>
          <w:rFonts w:hint="eastAsia" w:ascii="Times New Roman" w:hAnsi="Times New Roman" w:eastAsia="方正仿宋_GBK" w:cs="Times New Roman"/>
          <w:sz w:val="32"/>
          <w:szCs w:val="32"/>
        </w:rPr>
        <w:t>开放码头运营管理绩效评价</w:t>
      </w:r>
      <w:r>
        <w:rPr>
          <w:rFonts w:hint="eastAsia" w:eastAsia="方正仿宋_GBK" w:cs="Times New Roman"/>
          <w:sz w:val="32"/>
          <w:szCs w:val="32"/>
          <w:lang w:eastAsia="zh-CN"/>
        </w:rPr>
        <w:t>的时间；第十四条及第十五条明确了数据采集的方法及第三方对数据的审核；第十六条及第十七条明确了码头评价结果的等级划分及结果发布。</w:t>
      </w:r>
    </w:p>
    <w:p>
      <w:pPr>
        <w:widowControl/>
        <w:spacing w:line="586"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hint="eastAsia" w:eastAsia="方正仿宋_GBK" w:cs="Times New Roman"/>
          <w:sz w:val="32"/>
          <w:szCs w:val="32"/>
          <w:lang w:eastAsia="zh-CN"/>
        </w:rPr>
        <w:t>五</w:t>
      </w:r>
      <w:r>
        <w:rPr>
          <w:rFonts w:hint="eastAsia" w:ascii="Times New Roman" w:hAnsi="Times New Roman" w:eastAsia="方正仿宋_GBK" w:cs="Times New Roman"/>
          <w:sz w:val="32"/>
          <w:szCs w:val="32"/>
        </w:rPr>
        <w:t>章</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结果应用</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共</w:t>
      </w:r>
      <w:r>
        <w:rPr>
          <w:rFonts w:hint="eastAsia" w:eastAsia="方正仿宋_GBK" w:cs="Times New Roman"/>
          <w:sz w:val="32"/>
          <w:szCs w:val="32"/>
          <w:lang w:val="en-US" w:eastAsia="zh-CN"/>
        </w:rPr>
        <w:t>2</w:t>
      </w:r>
      <w:r>
        <w:rPr>
          <w:rFonts w:hint="eastAsia" w:ascii="Times New Roman" w:hAnsi="Times New Roman" w:eastAsia="方正仿宋_GBK" w:cs="Times New Roman"/>
          <w:sz w:val="32"/>
          <w:szCs w:val="32"/>
        </w:rPr>
        <w:t>条，主要阐述开放码头运营管理绩效评价结果应用和对评</w:t>
      </w:r>
      <w:r>
        <w:rPr>
          <w:rFonts w:hint="eastAsia" w:eastAsia="方正仿宋_GBK" w:cs="Times New Roman"/>
          <w:sz w:val="32"/>
          <w:szCs w:val="32"/>
          <w:lang w:eastAsia="zh-CN"/>
        </w:rPr>
        <w:t>估</w:t>
      </w:r>
      <w:r>
        <w:rPr>
          <w:rFonts w:hint="eastAsia" w:ascii="Times New Roman" w:hAnsi="Times New Roman" w:eastAsia="方正仿宋_GBK" w:cs="Times New Roman"/>
          <w:sz w:val="32"/>
          <w:szCs w:val="32"/>
        </w:rPr>
        <w:t>结果异议处理方式。</w:t>
      </w:r>
      <w:r>
        <w:rPr>
          <w:rFonts w:hint="eastAsia" w:eastAsia="方正仿宋_GBK" w:cs="Times New Roman"/>
          <w:sz w:val="32"/>
          <w:szCs w:val="32"/>
          <w:lang w:eastAsia="zh-CN"/>
        </w:rPr>
        <w:t>其中，第十八条明确了</w:t>
      </w:r>
      <w:r>
        <w:rPr>
          <w:rFonts w:hint="eastAsia" w:ascii="Times New Roman" w:hAnsi="Times New Roman" w:eastAsia="方正仿宋_GBK"/>
          <w:sz w:val="32"/>
          <w:szCs w:val="32"/>
        </w:rPr>
        <w:t>对开放码头评</w:t>
      </w:r>
      <w:r>
        <w:rPr>
          <w:rFonts w:hint="eastAsia" w:eastAsia="方正仿宋_GBK"/>
          <w:sz w:val="32"/>
          <w:szCs w:val="32"/>
          <w:lang w:eastAsia="zh-CN"/>
        </w:rPr>
        <w:t>价</w:t>
      </w:r>
      <w:r>
        <w:rPr>
          <w:rFonts w:hint="eastAsia" w:ascii="Times New Roman" w:hAnsi="Times New Roman" w:eastAsia="方正仿宋_GBK"/>
          <w:sz w:val="32"/>
          <w:szCs w:val="32"/>
        </w:rPr>
        <w:t>结果进行差异化资源配置和政策引导</w:t>
      </w:r>
      <w:r>
        <w:rPr>
          <w:rFonts w:hint="eastAsia" w:eastAsia="方正仿宋_GBK"/>
          <w:sz w:val="32"/>
          <w:szCs w:val="32"/>
          <w:lang w:eastAsia="zh-CN"/>
        </w:rPr>
        <w:t>；第十九条明确了</w:t>
      </w:r>
      <w:r>
        <w:rPr>
          <w:rFonts w:hint="eastAsia" w:ascii="Times New Roman" w:hAnsi="Times New Roman" w:eastAsia="方正仿宋_GBK"/>
          <w:sz w:val="32"/>
          <w:szCs w:val="32"/>
        </w:rPr>
        <w:t>参与</w:t>
      </w:r>
      <w:r>
        <w:rPr>
          <w:rFonts w:hint="eastAsia" w:eastAsia="方正仿宋_GBK"/>
          <w:sz w:val="32"/>
          <w:szCs w:val="32"/>
          <w:lang w:eastAsia="zh-CN"/>
        </w:rPr>
        <w:t>评价</w:t>
      </w:r>
      <w:r>
        <w:rPr>
          <w:rFonts w:hint="eastAsia" w:ascii="Times New Roman" w:hAnsi="Times New Roman" w:eastAsia="方正仿宋_GBK"/>
          <w:sz w:val="32"/>
          <w:szCs w:val="32"/>
        </w:rPr>
        <w:t>的单位或者个人均可向</w:t>
      </w:r>
      <w:r>
        <w:rPr>
          <w:rFonts w:hint="eastAsia" w:eastAsia="方正仿宋_GBK"/>
          <w:sz w:val="32"/>
          <w:szCs w:val="32"/>
          <w:lang w:eastAsia="zh-CN"/>
        </w:rPr>
        <w:t>实施主体</w:t>
      </w:r>
      <w:r>
        <w:rPr>
          <w:rFonts w:hint="eastAsia" w:ascii="Times New Roman" w:hAnsi="Times New Roman" w:eastAsia="方正仿宋_GBK"/>
          <w:sz w:val="32"/>
          <w:szCs w:val="32"/>
        </w:rPr>
        <w:t>举报</w:t>
      </w:r>
      <w:r>
        <w:rPr>
          <w:rFonts w:hint="eastAsia" w:ascii="Times New Roman" w:hAnsi="Times New Roman" w:eastAsia="方正仿宋_GBK" w:cs="Times New Roman"/>
          <w:sz w:val="32"/>
          <w:szCs w:val="32"/>
        </w:rPr>
        <w:t>评价</w:t>
      </w:r>
      <w:r>
        <w:rPr>
          <w:rFonts w:hint="eastAsia" w:ascii="Times New Roman" w:hAnsi="Times New Roman" w:eastAsia="方正仿宋_GBK"/>
          <w:sz w:val="32"/>
          <w:szCs w:val="32"/>
        </w:rPr>
        <w:t>的不公平、不公正和弄虚作假行为，或对评价结果提出异议</w:t>
      </w:r>
      <w:r>
        <w:rPr>
          <w:rFonts w:hint="eastAsia" w:eastAsia="方正仿宋_GBK"/>
          <w:sz w:val="32"/>
          <w:szCs w:val="32"/>
          <w:lang w:eastAsia="zh-CN"/>
        </w:rPr>
        <w:t>，实施主体</w:t>
      </w:r>
      <w:r>
        <w:rPr>
          <w:rFonts w:hint="eastAsia" w:ascii="Times New Roman" w:hAnsi="Times New Roman" w:eastAsia="方正仿宋_GBK"/>
          <w:sz w:val="32"/>
          <w:szCs w:val="32"/>
        </w:rPr>
        <w:t>负责调查处理并作出书面回复。</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w:t>
      </w:r>
      <w:r>
        <w:rPr>
          <w:rFonts w:hint="eastAsia" w:eastAsia="方正仿宋_GBK" w:cs="Times New Roman"/>
          <w:sz w:val="32"/>
          <w:szCs w:val="32"/>
          <w:lang w:eastAsia="zh-CN"/>
        </w:rPr>
        <w:t>六</w:t>
      </w:r>
      <w:r>
        <w:rPr>
          <w:rFonts w:hint="eastAsia" w:ascii="Times New Roman" w:hAnsi="Times New Roman" w:eastAsia="方正仿宋_GBK" w:cs="Times New Roman"/>
          <w:sz w:val="32"/>
          <w:szCs w:val="32"/>
        </w:rPr>
        <w:t>章</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附则</w:t>
      </w:r>
      <w:r>
        <w:rPr>
          <w:rFonts w:hint="eastAsia" w:eastAsia="方正仿宋_GBK" w:cs="Times New Roman"/>
          <w:sz w:val="32"/>
          <w:szCs w:val="32"/>
          <w:lang w:eastAsia="zh-CN"/>
        </w:rPr>
        <w:t>”</w:t>
      </w:r>
      <w:r>
        <w:rPr>
          <w:rFonts w:hint="eastAsia" w:ascii="Times New Roman" w:hAnsi="Times New Roman" w:eastAsia="方正仿宋_GBK" w:cs="Times New Roman"/>
          <w:sz w:val="32"/>
          <w:szCs w:val="32"/>
        </w:rPr>
        <w:t>共</w:t>
      </w:r>
      <w:r>
        <w:rPr>
          <w:rFonts w:hint="eastAsia" w:eastAsia="方正仿宋_GBK" w:cs="Times New Roman"/>
          <w:sz w:val="32"/>
          <w:szCs w:val="32"/>
          <w:lang w:val="en-US" w:eastAsia="zh-CN"/>
        </w:rPr>
        <w:t>1</w:t>
      </w:r>
      <w:r>
        <w:rPr>
          <w:rFonts w:hint="eastAsia" w:ascii="Times New Roman" w:hAnsi="Times New Roman" w:eastAsia="方正仿宋_GBK" w:cs="Times New Roman"/>
          <w:sz w:val="32"/>
          <w:szCs w:val="32"/>
        </w:rPr>
        <w:t>条，主要明确本办法的实施日期。</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此外，《办法》还包含两个附件，分别为《附件1 开放码头运营管理绩效评价指标体系》（以下简称《附件1》）和《附件2 开放码头运营管理绩效评价算法说明》（以下简称《附件2》）。</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《附件1》主要明确了全省开放码头运营管理绩效评价体系主要由</w:t>
      </w:r>
      <w:r>
        <w:rPr>
          <w:rFonts w:hint="eastAsia" w:eastAsia="方正仿宋_GBK" w:cs="Times New Roman"/>
          <w:sz w:val="32"/>
          <w:szCs w:val="32"/>
          <w:lang w:val="en-US" w:eastAsia="zh-CN"/>
        </w:rPr>
        <w:t>3</w:t>
      </w:r>
      <w:r>
        <w:rPr>
          <w:rFonts w:hint="eastAsia" w:ascii="Times New Roman" w:hAnsi="Times New Roman" w:eastAsia="方正仿宋_GBK" w:cs="Times New Roman"/>
          <w:sz w:val="32"/>
          <w:szCs w:val="32"/>
        </w:rPr>
        <w:t>个一级指标、</w:t>
      </w:r>
      <w:r>
        <w:rPr>
          <w:rFonts w:hint="eastAsia" w:eastAsia="方正仿宋_GBK" w:cs="Times New Roman"/>
          <w:sz w:val="32"/>
          <w:szCs w:val="32"/>
          <w:lang w:val="en-US" w:eastAsia="zh-CN"/>
        </w:rPr>
        <w:t>8</w:t>
      </w:r>
      <w:r>
        <w:rPr>
          <w:rFonts w:hint="eastAsia" w:ascii="Times New Roman" w:hAnsi="Times New Roman" w:eastAsia="方正仿宋_GBK" w:cs="Times New Roman"/>
          <w:sz w:val="32"/>
          <w:szCs w:val="32"/>
        </w:rPr>
        <w:t>个二级指标和若干采集数据组成。《附件2》主要阐述了全省开放码头运营管理绩效评价的主要算法、各指标及权重的设置，明确通过加权相加各级指标分值的方法来确定各开放码头运营管理绩效评价的综合得分，并对各指标得分的具体算法、独立加减分项、一票否决等情况进行了说明。</w:t>
      </w: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eastAsia" w:ascii="Times New Roman" w:hAnsi="Times New Roman" w:eastAsia="方正仿宋_GBK" w:cs="Times New Roman"/>
          <w:sz w:val="32"/>
          <w:szCs w:val="32"/>
        </w:rPr>
      </w:pPr>
    </w:p>
    <w:p>
      <w:pPr>
        <w:keepNext w:val="0"/>
        <w:keepLines w:val="0"/>
        <w:pageBreakBefore w:val="0"/>
        <w:widowControl/>
        <w:kinsoku/>
        <w:wordWrap/>
        <w:overflowPunct/>
        <w:topLinePunct w:val="0"/>
        <w:autoSpaceDE/>
        <w:autoSpaceDN/>
        <w:bidi w:val="0"/>
        <w:adjustRightInd/>
        <w:snapToGrid/>
        <w:spacing w:line="586" w:lineRule="exact"/>
        <w:ind w:firstLine="640" w:firstLineChars="200"/>
        <w:textAlignment w:val="auto"/>
        <w:rPr>
          <w:rFonts w:hint="eastAsia" w:ascii="Times New Roman" w:hAnsi="Times New Roman" w:eastAsia="方正仿宋_GBK" w:cs="Times New Roman"/>
          <w:sz w:val="32"/>
          <w:szCs w:val="32"/>
          <w:lang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00000001" w:usb1="0800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F79D9A"/>
    <w:rsid w:val="07F3BF61"/>
    <w:rsid w:val="1E9F603E"/>
    <w:rsid w:val="25F4202C"/>
    <w:rsid w:val="29E7AEA5"/>
    <w:rsid w:val="2DB7533C"/>
    <w:rsid w:val="33FF52C0"/>
    <w:rsid w:val="39FF97CB"/>
    <w:rsid w:val="3F25BAFE"/>
    <w:rsid w:val="5EDF11A5"/>
    <w:rsid w:val="5F3B010B"/>
    <w:rsid w:val="5FED2822"/>
    <w:rsid w:val="6D7353F7"/>
    <w:rsid w:val="6F7DFF53"/>
    <w:rsid w:val="6FBAC285"/>
    <w:rsid w:val="6FDD0A40"/>
    <w:rsid w:val="75EFB16C"/>
    <w:rsid w:val="76D3311E"/>
    <w:rsid w:val="777E9113"/>
    <w:rsid w:val="77FDEF4B"/>
    <w:rsid w:val="786B804E"/>
    <w:rsid w:val="7AF79D9A"/>
    <w:rsid w:val="7CFD6CE8"/>
    <w:rsid w:val="7D6FFDAE"/>
    <w:rsid w:val="7D7DB228"/>
    <w:rsid w:val="7DDB8A93"/>
    <w:rsid w:val="7F3AEE13"/>
    <w:rsid w:val="7FFEB85B"/>
    <w:rsid w:val="9EF54783"/>
    <w:rsid w:val="9EFE6350"/>
    <w:rsid w:val="B1FD6A13"/>
    <w:rsid w:val="BBDB5930"/>
    <w:rsid w:val="C7BF33CF"/>
    <w:rsid w:val="CAFDB10D"/>
    <w:rsid w:val="D97F3B44"/>
    <w:rsid w:val="DBDBCD06"/>
    <w:rsid w:val="DBEAB2A9"/>
    <w:rsid w:val="DBFCECCF"/>
    <w:rsid w:val="E7F66075"/>
    <w:rsid w:val="EABC9F6D"/>
    <w:rsid w:val="EBFFAB57"/>
    <w:rsid w:val="F73B89BB"/>
    <w:rsid w:val="F7FF5C9C"/>
    <w:rsid w:val="F9FF81D7"/>
    <w:rsid w:val="FD9CFB57"/>
    <w:rsid w:val="FE6FC868"/>
    <w:rsid w:val="FEFF422D"/>
    <w:rsid w:val="FF77D232"/>
    <w:rsid w:val="FFBF9E3B"/>
    <w:rsid w:val="FFFD506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Style w:val="2"/>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21.3333333333333</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2023-05-05T07:05:00Z</dcterms:created>
  <dc:creator>kylin</dc:creator>
  <cp:lastModifiedBy>kylin</cp:lastModifiedBy>
  <dcterms:modified xsi:type="dcterms:W3CDTF">2024-01-24T12:33:17Z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1850717DB6F243C20D93B065D96673DD</vt:lpwstr>
  </property>
</Properties>
</file>