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87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after="0" w:line="587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87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走进自贸伙伴 面向全球市场</w:t>
      </w:r>
    </w:p>
    <w:p>
      <w:pPr>
        <w:spacing w:after="0" w:line="587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after="0" w:line="587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为帮助江苏企业用好自贸伙伴的市场机遇和政策红利，降低出海风险和跨境经营合规成本，江苏省商务厅将分期推出《走进自贸伙伴  面向全球市场》栏目。本栏目聚焦与江苏经贸关系密切的重点自贸伙伴，通过梳理和分析其与江苏的经贸合作情况、自贸区网络布局、原产地规则要点、重点发展产业、重点经贸法规政策等企业关注的关键信息，帮助企业更快地了解自贸伙伴、更好地走进自贸伙伴、更稳地拓展全球市场。本期推出第一期越南篇，供广大企业参考。</w:t>
      </w:r>
    </w:p>
    <w:p>
      <w:pPr>
        <w:spacing w:after="0" w:line="587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after="0" w:line="587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越南</w:t>
      </w:r>
    </w:p>
    <w:p>
      <w:pPr>
        <w:spacing w:after="0" w:line="587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2025年，越南国内生产总值规模超5140亿美元，增长8%，跻身全球前32大经济体，位居东盟第4位；人口数量超1亿，</w:t>
      </w:r>
      <w:bookmarkStart w:id="0" w:name="OLE_LINK6"/>
      <w:r>
        <w:rPr>
          <w:rFonts w:hint="default" w:ascii="Times New Roman" w:hAnsi="Times New Roman" w:eastAsia="方正仿宋_GBK" w:cs="Times New Roman"/>
          <w:sz w:val="32"/>
          <w:szCs w:val="32"/>
        </w:rPr>
        <w:t>人均GDP首次突破5000美元</w:t>
      </w:r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，跻身中等偏高收入国家行列。人工智能指数在40个国家中位列第6位；全球创新指数在139个国家和地区中位列第44位。</w:t>
      </w:r>
    </w:p>
    <w:p>
      <w:pPr>
        <w:spacing w:after="0" w:line="587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一、“十四五”期间越南与江苏的经贸合作情况</w:t>
      </w:r>
    </w:p>
    <w:p>
      <w:pPr>
        <w:spacing w:after="0" w:line="587" w:lineRule="exact"/>
        <w:ind w:firstLine="640" w:firstLineChars="200"/>
        <w:rPr>
          <w:rFonts w:ascii="Times New Roman" w:hAnsi="Times New Roman" w:eastAsia="方正楷体_GBK" w:cs="Times New Roman"/>
          <w:sz w:val="32"/>
          <w:szCs w:val="32"/>
        </w:rPr>
      </w:pPr>
      <w:bookmarkStart w:id="1" w:name="OLE_LINK3"/>
      <w:r>
        <w:rPr>
          <w:rFonts w:hint="eastAsia" w:ascii="Times New Roman" w:hAnsi="Times New Roman" w:eastAsia="方正楷体_GBK" w:cs="Times New Roman"/>
          <w:sz w:val="32"/>
          <w:szCs w:val="32"/>
        </w:rPr>
        <w:t>（一）货物</w:t>
      </w:r>
      <w:r>
        <w:rPr>
          <w:rFonts w:ascii="Times New Roman" w:hAnsi="Times New Roman" w:eastAsia="方正楷体_GBK" w:cs="Times New Roman"/>
          <w:sz w:val="32"/>
          <w:szCs w:val="32"/>
        </w:rPr>
        <w:t>贸易</w:t>
      </w: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2025年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越南实现外贸进出口总额9300亿美元，同比增长18%。其中，出口额4750亿美元，同比增长17%，进口额4550亿美元，全年实现贸易顺差200亿美元。江苏和越南互为重要贸易伙伴，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“十四五”期间，江苏越南双边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贸易保持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连续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较快增长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2025年，江苏对越南进出口总额460.3亿美元，同比增长20.4%，贸易顺差206.6亿美元。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9"/>
        <w:rPr>
          <w:rFonts w:hint="eastAsia" w:ascii="Times New Roman" w:hAnsi="Times New Roman" w:cs="Times New Roman" w:eastAsiaTheme="majorEastAsia"/>
          <w:b/>
          <w:bCs/>
          <w:sz w:val="24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274310" cy="2592070"/>
            <wp:effectExtent l="4445" t="4445" r="17145" b="13335"/>
            <wp:docPr id="4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2" w:name="OLE_LINK1"/>
      <w:r>
        <w:rPr>
          <w:rFonts w:ascii="Times New Roman" w:hAnsi="Times New Roman" w:cs="Times New Roman" w:eastAsiaTheme="majorEastAsia"/>
          <w:b/>
          <w:bCs/>
          <w:sz w:val="24"/>
        </w:rPr>
        <w:t>图1  2021—2025年江苏</w:t>
      </w:r>
      <w:r>
        <w:rPr>
          <w:rFonts w:hint="eastAsia" w:ascii="Times New Roman" w:hAnsi="Times New Roman" w:cs="Times New Roman" w:eastAsiaTheme="majorEastAsia"/>
          <w:b/>
          <w:bCs/>
          <w:sz w:val="24"/>
        </w:rPr>
        <w:t>与</w:t>
      </w:r>
      <w:r>
        <w:rPr>
          <w:rFonts w:ascii="Times New Roman" w:hAnsi="Times New Roman" w:cs="Times New Roman" w:eastAsiaTheme="majorEastAsia"/>
          <w:b/>
          <w:bCs/>
          <w:sz w:val="24"/>
        </w:rPr>
        <w:t>越南货物贸易</w:t>
      </w:r>
      <w:r>
        <w:rPr>
          <w:rFonts w:hint="eastAsia" w:ascii="Times New Roman" w:hAnsi="Times New Roman" w:cs="Times New Roman" w:eastAsiaTheme="majorEastAsia"/>
          <w:b/>
          <w:bCs/>
          <w:sz w:val="24"/>
        </w:rPr>
        <w:t>情况</w:t>
      </w:r>
    </w:p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从商品情况看，江苏出口至越南的主要产品为机械器具、纺织原料、贱金属、塑料橡胶、化学产品、仪器仪表，</w:t>
      </w:r>
      <w:bookmarkStart w:id="3" w:name="OLE_LINK2"/>
      <w:r>
        <w:rPr>
          <w:rFonts w:hint="default" w:ascii="Times New Roman" w:hAnsi="Times New Roman" w:eastAsia="方正仿宋_GBK" w:cs="Times New Roman"/>
          <w:sz w:val="32"/>
          <w:szCs w:val="32"/>
        </w:rPr>
        <w:t>2025年分别占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江苏对越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出口总额的65.2%、11.8%、7%、4.5%、4.1%、2.2%。</w:t>
      </w:r>
      <w:bookmarkEnd w:id="3"/>
      <w:r>
        <w:rPr>
          <w:rFonts w:hint="default" w:ascii="Times New Roman" w:hAnsi="Times New Roman" w:eastAsia="方正仿宋_GBK" w:cs="Times New Roman"/>
          <w:sz w:val="32"/>
          <w:szCs w:val="32"/>
        </w:rPr>
        <w:t>江苏自越南进口的主要产品为机械器具、鞋帽制品、纺织原料、塑料橡胶、植物产品、仪器仪表，2025年分别占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江苏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自越进口总额的76.5%、9%、3.8%、2.5%、1.8%、1.8%。</w:t>
      </w:r>
    </w:p>
    <w:p>
      <w:pPr>
        <w:pStyle w:val="14"/>
        <w:numPr>
          <w:ilvl w:val="0"/>
          <w:numId w:val="0"/>
        </w:numPr>
        <w:spacing w:after="0" w:line="587" w:lineRule="exact"/>
        <w:ind w:left="640" w:leftChars="0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sz w:val="32"/>
          <w:szCs w:val="32"/>
          <w:lang w:eastAsia="zh-CN"/>
        </w:rPr>
        <w:t>（二）</w:t>
      </w:r>
      <w:r>
        <w:rPr>
          <w:rFonts w:hint="eastAsia" w:ascii="Times New Roman" w:hAnsi="Times New Roman" w:eastAsia="方正楷体_GBK" w:cs="Times New Roman"/>
          <w:sz w:val="32"/>
          <w:szCs w:val="32"/>
        </w:rPr>
        <w:t>对越</w:t>
      </w:r>
      <w:r>
        <w:rPr>
          <w:rFonts w:ascii="Times New Roman" w:hAnsi="Times New Roman" w:eastAsia="方正楷体_GBK" w:cs="Times New Roman"/>
          <w:sz w:val="32"/>
          <w:szCs w:val="32"/>
        </w:rPr>
        <w:t>投资</w:t>
      </w:r>
      <w:bookmarkStart w:id="4" w:name="OLE_LINK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根据越南财政部统计，2025年越南吸收外商直接投资384.2亿美元，同比增长0.5%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实际利用外资276.2亿美元，同比增长9%，是过去五年的最高值，其中82.8%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投向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加工制造业。“十四五”期间，江苏对越南投资总体呈上升趋势，2025年，江苏对越南投资新批项目数152个，同比下降7.9%，占江苏对外投资新批项目总数比重为9.5%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，高于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2021年的5.1%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对越南中方协议投资11.5亿美元，同比下降25.4%，占江苏对外投资中方协议投资总额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12.4%，远高于2021年的4.7%。</w:t>
      </w:r>
    </w:p>
    <w:bookmarkEnd w:id="4"/>
    <w:p>
      <w:pPr>
        <w:spacing w:after="0" w:line="240" w:lineRule="auto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273040" cy="2592070"/>
            <wp:effectExtent l="4445" t="4445" r="18415" b="13335"/>
            <wp:docPr id="5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spacing w:after="0" w:line="240" w:lineRule="auto"/>
        <w:ind w:firstLine="481" w:firstLineChars="200"/>
        <w:jc w:val="center"/>
        <w:rPr>
          <w:rFonts w:ascii="Times New Roman" w:hAnsi="Times New Roman" w:cs="Times New Roman" w:eastAsiaTheme="majorEastAsia"/>
          <w:b/>
          <w:bCs/>
          <w:sz w:val="24"/>
        </w:rPr>
      </w:pPr>
      <w:bookmarkStart w:id="5" w:name="OLE_LINK4"/>
      <w:r>
        <w:rPr>
          <w:rFonts w:ascii="Times New Roman" w:hAnsi="Times New Roman" w:cs="Times New Roman" w:eastAsiaTheme="majorEastAsia"/>
          <w:b/>
          <w:bCs/>
          <w:sz w:val="24"/>
        </w:rPr>
        <w:t>图2  2021</w:t>
      </w:r>
      <w:r>
        <w:rPr>
          <w:rFonts w:hint="eastAsia" w:ascii="Times New Roman" w:hAnsi="Times New Roman" w:cs="Times New Roman" w:eastAsiaTheme="majorEastAsia"/>
          <w:b/>
          <w:bCs/>
          <w:sz w:val="24"/>
        </w:rPr>
        <w:t>—</w:t>
      </w:r>
      <w:r>
        <w:rPr>
          <w:rFonts w:ascii="Times New Roman" w:hAnsi="Times New Roman" w:cs="Times New Roman" w:eastAsiaTheme="majorEastAsia"/>
          <w:b/>
          <w:bCs/>
          <w:sz w:val="24"/>
        </w:rPr>
        <w:t>2025年江苏对越南直接投资情况</w:t>
      </w:r>
      <w:bookmarkEnd w:id="5"/>
    </w:p>
    <w:p>
      <w:pPr>
        <w:pStyle w:val="14"/>
        <w:numPr>
          <w:ilvl w:val="0"/>
          <w:numId w:val="0"/>
        </w:numPr>
        <w:spacing w:after="0" w:line="587" w:lineRule="exact"/>
        <w:ind w:left="641" w:leftChars="0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sz w:val="32"/>
          <w:szCs w:val="32"/>
          <w:lang w:eastAsia="zh-CN"/>
        </w:rPr>
        <w:t>（三）</w:t>
      </w:r>
      <w:r>
        <w:rPr>
          <w:rFonts w:hint="eastAsia" w:ascii="Times New Roman" w:hAnsi="Times New Roman" w:eastAsia="方正楷体_GBK" w:cs="Times New Roman"/>
          <w:sz w:val="32"/>
          <w:szCs w:val="32"/>
        </w:rPr>
        <w:t>对越</w:t>
      </w:r>
      <w:r>
        <w:rPr>
          <w:rFonts w:ascii="Times New Roman" w:hAnsi="Times New Roman" w:eastAsia="方正楷体_GBK" w:cs="Times New Roman"/>
          <w:sz w:val="32"/>
          <w:szCs w:val="32"/>
        </w:rPr>
        <w:t>承包工程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6" w:name="OLE_LINK14"/>
      <w:r>
        <w:rPr>
          <w:rFonts w:hint="default" w:ascii="Times New Roman" w:hAnsi="Times New Roman" w:eastAsia="方正仿宋_GBK" w:cs="Times New Roman"/>
          <w:sz w:val="32"/>
          <w:szCs w:val="32"/>
        </w:rPr>
        <w:t>“十四五”期间，江苏对越南承包工程规模总体呈下降趋势</w:t>
      </w:r>
      <w:bookmarkEnd w:id="6"/>
      <w:r>
        <w:rPr>
          <w:rFonts w:hint="default" w:ascii="Times New Roman" w:hAnsi="Times New Roman" w:eastAsia="方正仿宋_GBK" w:cs="Times New Roman"/>
          <w:sz w:val="32"/>
          <w:szCs w:val="32"/>
        </w:rPr>
        <w:t>，2025年，江苏对越南</w:t>
      </w:r>
      <w:bookmarkStart w:id="7" w:name="OLE_LINK8"/>
      <w:r>
        <w:rPr>
          <w:rFonts w:hint="default" w:ascii="Times New Roman" w:hAnsi="Times New Roman" w:eastAsia="方正仿宋_GBK" w:cs="Times New Roman"/>
          <w:sz w:val="32"/>
          <w:szCs w:val="32"/>
        </w:rPr>
        <w:t>新签</w:t>
      </w:r>
      <w:bookmarkEnd w:id="7"/>
      <w:r>
        <w:rPr>
          <w:rFonts w:hint="default" w:ascii="Times New Roman" w:hAnsi="Times New Roman" w:eastAsia="方正仿宋_GBK" w:cs="Times New Roman"/>
          <w:sz w:val="32"/>
          <w:szCs w:val="32"/>
        </w:rPr>
        <w:t>合同额4亿美元，占江苏对外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承包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工程新签合同额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3.6%，远低于2021年的12.3%；对越南完成营业额3.6亿美元，同比下降40.3%。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9"/>
        <w:rPr>
          <w:rFonts w:ascii="Times New Roman" w:hAnsi="Times New Roman" w:cs="Times New Roman" w:eastAsiaTheme="majorEastAsia"/>
          <w:b/>
          <w:bCs/>
          <w:sz w:val="24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274310" cy="2592070"/>
            <wp:effectExtent l="4445" t="4445" r="17145" b="13335"/>
            <wp:docPr id="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hAnsi="Times New Roman" w:cs="Times New Roman" w:eastAsiaTheme="majorEastAsia"/>
          <w:b/>
          <w:bCs/>
          <w:sz w:val="24"/>
        </w:rPr>
        <w:t>图3  2021</w:t>
      </w:r>
      <w:r>
        <w:rPr>
          <w:rFonts w:hint="eastAsia" w:ascii="Times New Roman" w:hAnsi="Times New Roman" w:cs="Times New Roman" w:eastAsiaTheme="majorEastAsia"/>
          <w:b/>
          <w:bCs/>
          <w:sz w:val="24"/>
        </w:rPr>
        <w:t>—</w:t>
      </w:r>
      <w:r>
        <w:rPr>
          <w:rFonts w:ascii="Times New Roman" w:hAnsi="Times New Roman" w:cs="Times New Roman" w:eastAsiaTheme="majorEastAsia"/>
          <w:b/>
          <w:bCs/>
          <w:sz w:val="24"/>
        </w:rPr>
        <w:t>2025年江苏对越南承包工程情况</w:t>
      </w:r>
    </w:p>
    <w:p>
      <w:pPr>
        <w:spacing w:after="0" w:line="587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</w:rPr>
        <w:t>二、</w:t>
      </w:r>
      <w:r>
        <w:rPr>
          <w:rFonts w:ascii="Times New Roman" w:hAnsi="Times New Roman" w:eastAsia="方正黑体_GBK" w:cs="Times New Roman"/>
          <w:sz w:val="32"/>
          <w:szCs w:val="32"/>
        </w:rPr>
        <w:t>自贸区网络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bookmarkStart w:id="8" w:name="OLE_LINK16"/>
      <w:bookmarkStart w:id="9" w:name="OLE_LINK17"/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截至2026年8月，越南已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生效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17个自贸协定，</w:t>
      </w:r>
      <w:bookmarkEnd w:id="8"/>
      <w:r>
        <w:rPr>
          <w:rFonts w:hint="default" w:ascii="Times New Roman" w:hAnsi="Times New Roman" w:eastAsia="方正仿宋_GBK" w:cs="Times New Roman"/>
          <w:sz w:val="32"/>
          <w:szCs w:val="32"/>
        </w:rPr>
        <w:t>包括《全面与进步跨太平</w:t>
      </w:r>
      <w:bookmarkStart w:id="17" w:name="_GoBack"/>
      <w:bookmarkEnd w:id="17"/>
      <w:r>
        <w:rPr>
          <w:rFonts w:hint="default" w:ascii="Times New Roman" w:hAnsi="Times New Roman" w:eastAsia="方正仿宋_GBK" w:cs="Times New Roman"/>
          <w:sz w:val="32"/>
          <w:szCs w:val="32"/>
        </w:rPr>
        <w:t>洋伙伴关系协定》（CPTPP）、《欧盟-越南自由贸易协定》（EVFTA）、《区域全面经济伙伴关系协定》（RCEP）等新型自贸协定。此外，越南正与欧洲自由贸易联盟（EFTA，包括瑞士、挪威、冰岛和列支敦士登）进行自贸协定谈判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越南的自贸伙伴中有欧盟、英国、阿联酋、欧亚经济联盟等，皆是我国重要的经贸伙伴。</w:t>
      </w:r>
    </w:p>
    <w:bookmarkEnd w:id="9"/>
    <w:p>
      <w:pPr>
        <w:spacing w:after="0" w:line="240" w:lineRule="auto"/>
        <w:jc w:val="center"/>
        <w:rPr>
          <w:rFonts w:ascii="Times New Roman" w:hAnsi="Times New Roman" w:eastAsia="方正小标宋_GBK" w:cs="Times New Roman"/>
          <w:sz w:val="28"/>
          <w:szCs w:val="28"/>
        </w:rPr>
      </w:pPr>
      <w:r>
        <w:rPr>
          <w:rFonts w:ascii="Times New Roman" w:hAnsi="Times New Roman" w:eastAsia="方正小标宋_GBK" w:cs="Times New Roman"/>
          <w:sz w:val="28"/>
          <w:szCs w:val="28"/>
        </w:rPr>
        <w:t>表1  中国和越南</w:t>
      </w:r>
      <w:r>
        <w:rPr>
          <w:rFonts w:hint="eastAsia" w:ascii="Times New Roman" w:hAnsi="Times New Roman" w:eastAsia="方正小标宋_GBK" w:cs="Times New Roman"/>
          <w:sz w:val="28"/>
          <w:szCs w:val="28"/>
          <w:lang w:eastAsia="zh-CN"/>
        </w:rPr>
        <w:t>已生效</w:t>
      </w:r>
      <w:r>
        <w:rPr>
          <w:rFonts w:ascii="Times New Roman" w:hAnsi="Times New Roman" w:eastAsia="方正小标宋_GBK" w:cs="Times New Roman"/>
          <w:sz w:val="28"/>
          <w:szCs w:val="28"/>
        </w:rPr>
        <w:t>自贸区网络情况</w:t>
      </w:r>
    </w:p>
    <w:tbl>
      <w:tblPr>
        <w:tblStyle w:val="8"/>
        <w:tblW w:w="9518" w:type="dxa"/>
        <w:tblInd w:w="-1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2973"/>
        <w:gridCol w:w="1527"/>
        <w:gridCol w:w="4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</w:tcPr>
          <w:p>
            <w:pPr>
              <w:spacing w:after="0" w:line="440" w:lineRule="exact"/>
              <w:jc w:val="center"/>
              <w:rPr>
                <w:rFonts w:ascii="方正黑体_GBK" w:hAnsi="方正黑体_GBK" w:eastAsia="方正黑体_GBK" w:cs="Times New Roman"/>
                <w:sz w:val="28"/>
                <w:szCs w:val="28"/>
              </w:rPr>
            </w:pPr>
          </w:p>
        </w:tc>
        <w:tc>
          <w:tcPr>
            <w:tcW w:w="2973" w:type="dxa"/>
          </w:tcPr>
          <w:p>
            <w:pPr>
              <w:spacing w:after="0" w:line="440" w:lineRule="exact"/>
              <w:jc w:val="center"/>
              <w:rPr>
                <w:rFonts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ascii="方正黑体_GBK" w:hAnsi="方正黑体_GBK" w:eastAsia="方正黑体_GBK" w:cs="Times New Roman"/>
                <w:sz w:val="28"/>
                <w:szCs w:val="28"/>
              </w:rPr>
              <w:t>越南</w:t>
            </w:r>
          </w:p>
        </w:tc>
        <w:tc>
          <w:tcPr>
            <w:tcW w:w="1527" w:type="dxa"/>
          </w:tcPr>
          <w:p>
            <w:pPr>
              <w:spacing w:after="0" w:line="440" w:lineRule="exact"/>
              <w:jc w:val="center"/>
              <w:rPr>
                <w:rFonts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ascii="方正黑体_GBK" w:hAnsi="方正黑体_GBK" w:eastAsia="方正黑体_GBK" w:cs="Times New Roman"/>
                <w:sz w:val="28"/>
                <w:szCs w:val="28"/>
              </w:rPr>
              <w:t>共同/重合</w:t>
            </w:r>
          </w:p>
        </w:tc>
        <w:tc>
          <w:tcPr>
            <w:tcW w:w="4364" w:type="dxa"/>
          </w:tcPr>
          <w:p>
            <w:pPr>
              <w:spacing w:after="0" w:line="440" w:lineRule="exact"/>
              <w:jc w:val="center"/>
              <w:rPr>
                <w:rFonts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ascii="方正黑体_GBK" w:hAnsi="方正黑体_GBK" w:eastAsia="方正黑体_GBK" w:cs="Times New Roman"/>
                <w:sz w:val="28"/>
                <w:szCs w:val="28"/>
              </w:rPr>
              <w:t>中国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vAlign w:val="center"/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自贸协定</w:t>
            </w:r>
          </w:p>
        </w:tc>
        <w:tc>
          <w:tcPr>
            <w:tcW w:w="2973" w:type="dxa"/>
            <w:vAlign w:val="center"/>
          </w:tcPr>
          <w:p>
            <w:pPr>
              <w:spacing w:after="0" w:line="360" w:lineRule="exact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阿联酋-越南CEPA、越南-以色列FTA、英国-越南FTA、古巴-越南贸易协议、欧盟-越南FTA、全面与进步跨太平洋伙伴关系协定、东盟-香港FTA、EEU-越南FTA、韩国-越南FTA、智利-越南FTA、澳大利亚-新西兰-东盟</w:t>
            </w:r>
            <w:r>
              <w:rPr>
                <w:rFonts w:hint="eastAsia" w:ascii="Times New Roman" w:hAnsi="Times New Roman" w:cs="Times New Roman"/>
                <w:sz w:val="24"/>
              </w:rPr>
              <w:t>FTA</w:t>
            </w:r>
            <w:r>
              <w:rPr>
                <w:rFonts w:ascii="Times New Roman" w:hAnsi="Times New Roman" w:cs="Times New Roman"/>
                <w:sz w:val="24"/>
              </w:rPr>
              <w:t>、东盟-印度FTA、日本-越南EPA、东盟-日本EPA、东盟-韩国CECA</w:t>
            </w:r>
          </w:p>
        </w:tc>
        <w:tc>
          <w:tcPr>
            <w:tcW w:w="1527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区域全面经济伙伴关系协定</w:t>
            </w:r>
            <w:r>
              <w:rPr>
                <w:rFonts w:hint="eastAsia" w:ascii="Times New Roman" w:hAnsi="Times New Roman" w:cs="Times New Roman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中国-东盟FTA</w:t>
            </w:r>
          </w:p>
        </w:tc>
        <w:tc>
          <w:tcPr>
            <w:tcW w:w="4364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中国-刚果EHP、中国-马尔代夫EHP、中国-洪都拉斯EHP、中国-厄瓜多尔FTA、中国-尼加拉瓜FTA、中国-塞尔维亚FTA、柬埔寨-中国FTA、中国-毛里求斯FTA、中国-格鲁吉亚FTA、澳大利亚-中国FTA、中国-韩国FTA、中国-冰岛FTA、中国-瑞士FTA、中国-中国台北EHP、中国-哥斯达黎加FTA、中国-秘鲁FTA、中国-新加坡FTA、中国-新西兰FTA、中国-巴基斯坦FTA、中国-智利FTA、内地与港澳关于建立更紧密经贸关系的安排（CEPA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vAlign w:val="center"/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自贸伙伴</w:t>
            </w:r>
          </w:p>
        </w:tc>
        <w:tc>
          <w:tcPr>
            <w:tcW w:w="2973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阿联酋、以色列、英国、古巴、欧盟、加拿大、墨西哥、俄罗斯、亚美尼亚、白俄罗斯、哈萨克斯坦、吉尔吉斯斯坦</w:t>
            </w:r>
          </w:p>
        </w:tc>
        <w:tc>
          <w:tcPr>
            <w:tcW w:w="1527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日本</w:t>
            </w:r>
            <w:r>
              <w:rPr>
                <w:rFonts w:hint="eastAsia" w:ascii="Times New Roman" w:hAnsi="Times New Roman" w:cs="Times New Roman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韩国</w:t>
            </w:r>
            <w:r>
              <w:rPr>
                <w:rFonts w:hint="eastAsia" w:ascii="Times New Roman" w:hAnsi="Times New Roman" w:cs="Times New Roman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澳大利亚、新西兰、智利、</w:t>
            </w:r>
            <w:r>
              <w:rPr>
                <w:rFonts w:hint="eastAsia" w:ascii="Times New Roman" w:hAnsi="Times New Roman" w:cs="Times New Roman"/>
                <w:sz w:val="24"/>
              </w:rPr>
              <w:t>中国</w:t>
            </w:r>
            <w:r>
              <w:rPr>
                <w:rFonts w:ascii="Times New Roman" w:hAnsi="Times New Roman" w:cs="Times New Roman"/>
                <w:sz w:val="24"/>
              </w:rPr>
              <w:t>香港、秘鲁、印度、文莱、柬埔寨、印度尼西亚、老挝、马来西亚、缅甸、菲律宾、新加坡、泰国</w:t>
            </w:r>
          </w:p>
        </w:tc>
        <w:tc>
          <w:tcPr>
            <w:tcW w:w="4364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刚果、马尔代夫、洪都拉斯、厄瓜多尔、尼加拉瓜、塞尔维亚、毛里求斯、格鲁吉亚、冰岛、瑞士、哥斯达黎加、巴基斯坦、</w:t>
            </w:r>
            <w:r>
              <w:rPr>
                <w:rFonts w:hint="eastAsia" w:ascii="Times New Roman" w:hAnsi="Times New Roman" w:cs="Times New Roman"/>
                <w:sz w:val="24"/>
              </w:rPr>
              <w:t>中国</w:t>
            </w:r>
            <w:r>
              <w:rPr>
                <w:rFonts w:ascii="Times New Roman" w:hAnsi="Times New Roman" w:cs="Times New Roman"/>
                <w:sz w:val="24"/>
              </w:rPr>
              <w:t>澳门、</w:t>
            </w:r>
            <w:r>
              <w:rPr>
                <w:rFonts w:hint="eastAsia" w:ascii="Times New Roman" w:hAnsi="Times New Roman" w:cs="Times New Roman"/>
                <w:sz w:val="24"/>
              </w:rPr>
              <w:t>中国</w:t>
            </w:r>
            <w:r>
              <w:rPr>
                <w:rFonts w:ascii="Times New Roman" w:hAnsi="Times New Roman" w:cs="Times New Roman"/>
                <w:sz w:val="24"/>
              </w:rPr>
              <w:t>台北、孟加拉国、斯里兰卡、蒙古国</w:t>
            </w:r>
          </w:p>
        </w:tc>
      </w:tr>
    </w:tbl>
    <w:p>
      <w:pPr>
        <w:spacing w:after="0" w:line="587" w:lineRule="exact"/>
        <w:ind w:firstLine="640" w:firstLineChars="200"/>
        <w:rPr>
          <w:rFonts w:hint="eastAsia"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</w:rPr>
        <w:t>三、原产地规则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货物由越南出口，需要经过进口国的原产地规则判断原产地是否为越南。企业在将货物自越南出口至美国时，需按照相关要求申办非优惠原产地证书（即普通原产地证书），以满足美国海关的合规要求。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越南《关于对外贸易法原产地规则的指导法令》规定，某货物如果符合下列要求，可以视为一国原产：在一个国家、一个国家集团或生产区域完全获得或者生产；非在一个国家、一个国家集团或生产区域完全获得或生产，但符合越南工业和贸易部（以下简称“越南工贸部”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《货物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特定规则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规定的标准。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根据越南工贸部</w:t>
      </w:r>
      <w:bookmarkStart w:id="10" w:name="OLE_LINK13"/>
      <w:r>
        <w:rPr>
          <w:rFonts w:hint="default" w:ascii="Times New Roman" w:hAnsi="Times New Roman" w:eastAsia="方正仿宋_GBK" w:cs="Times New Roman"/>
          <w:sz w:val="32"/>
          <w:szCs w:val="32"/>
        </w:rPr>
        <w:t>《关于货物原产地的通告》</w:t>
      </w:r>
      <w:bookmarkEnd w:id="10"/>
      <w:r>
        <w:rPr>
          <w:rFonts w:hint="default" w:ascii="Times New Roman" w:hAnsi="Times New Roman" w:eastAsia="方正仿宋_GBK" w:cs="Times New Roman"/>
          <w:sz w:val="32"/>
          <w:szCs w:val="32"/>
        </w:rPr>
        <w:t>规定，非完全生产或获得的货物有两个标准，分别为“税则改变规则”（CTC）和“当地价值含量规则”（LVC）。税则改变规则主要分为2位货物代码的转换（CC）、4位货物代码的转换（CTH）、6位</w:t>
      </w:r>
      <w:bookmarkStart w:id="11" w:name="OLE_LINK9"/>
      <w:r>
        <w:rPr>
          <w:rFonts w:hint="default" w:ascii="Times New Roman" w:hAnsi="Times New Roman" w:eastAsia="方正仿宋_GBK" w:cs="Times New Roman"/>
          <w:sz w:val="32"/>
          <w:szCs w:val="32"/>
        </w:rPr>
        <w:t>货物</w:t>
      </w:r>
      <w:bookmarkEnd w:id="11"/>
      <w:r>
        <w:rPr>
          <w:rFonts w:hint="default" w:ascii="Times New Roman" w:hAnsi="Times New Roman" w:eastAsia="方正仿宋_GBK" w:cs="Times New Roman"/>
          <w:sz w:val="32"/>
          <w:szCs w:val="32"/>
        </w:rPr>
        <w:t>代码转换（CTSH），且难度递增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总体而言，动物产品、水产品等更易适用CC，金属制品等适用</w:t>
      </w:r>
      <w:bookmarkStart w:id="12" w:name="OLE_LINK10"/>
      <w:r>
        <w:rPr>
          <w:rFonts w:hint="default" w:ascii="Times New Roman" w:hAnsi="Times New Roman" w:eastAsia="方正仿宋_GBK" w:cs="Times New Roman"/>
          <w:sz w:val="32"/>
          <w:szCs w:val="32"/>
        </w:rPr>
        <w:t>CTH</w:t>
      </w:r>
      <w:bookmarkEnd w:id="12"/>
      <w:r>
        <w:rPr>
          <w:rFonts w:hint="default" w:ascii="Times New Roman" w:hAnsi="Times New Roman" w:eastAsia="方正仿宋_GBK" w:cs="Times New Roman"/>
          <w:sz w:val="32"/>
          <w:szCs w:val="32"/>
        </w:rPr>
        <w:t>，药品等适用</w:t>
      </w:r>
      <w:bookmarkStart w:id="13" w:name="OLE_LINK11"/>
      <w:r>
        <w:rPr>
          <w:rFonts w:hint="default" w:ascii="Times New Roman" w:hAnsi="Times New Roman" w:eastAsia="方正仿宋_GBK" w:cs="Times New Roman"/>
          <w:sz w:val="32"/>
          <w:szCs w:val="32"/>
        </w:rPr>
        <w:t>CTSH</w:t>
      </w:r>
      <w:bookmarkEnd w:id="13"/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附件1《货物特定规则》列明了部分商品当地价值含量的要求，大部分要求当地价值含量不低于30%，若没有优惠规则的适用，则当地价值含量应当适用最低价值标准，即不低于15%或进行“重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量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判断”；原产地证书申请人应自行选择直接公式或间接公式来计算LVC。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14" w:name="OLE_LINK15"/>
      <w:r>
        <w:rPr>
          <w:rFonts w:hint="default" w:ascii="Times New Roman" w:hAnsi="Times New Roman" w:eastAsia="方正仿宋_GBK" w:cs="Times New Roman"/>
          <w:sz w:val="32"/>
          <w:szCs w:val="32"/>
        </w:rPr>
        <w:t>2019年，</w:t>
      </w:r>
      <w:bookmarkStart w:id="15" w:name="OLE_LINK12"/>
      <w:r>
        <w:rPr>
          <w:rFonts w:hint="default" w:ascii="Times New Roman" w:hAnsi="Times New Roman" w:eastAsia="方正仿宋_GBK" w:cs="Times New Roman"/>
          <w:sz w:val="32"/>
          <w:szCs w:val="32"/>
        </w:rPr>
        <w:t>越南工贸部</w:t>
      </w:r>
      <w:bookmarkEnd w:id="15"/>
      <w:r>
        <w:rPr>
          <w:rFonts w:hint="default" w:ascii="Times New Roman" w:hAnsi="Times New Roman" w:eastAsia="方正仿宋_GBK" w:cs="Times New Roman"/>
          <w:sz w:val="32"/>
          <w:szCs w:val="32"/>
        </w:rPr>
        <w:t>公布《关于确定越南产品或越南生产商品办法规定》草案，要求本地增加值超过30%方可使用“Made in Vietnam”标识。</w:t>
      </w:r>
      <w:bookmarkEnd w:id="14"/>
      <w:r>
        <w:rPr>
          <w:rFonts w:hint="default" w:ascii="Times New Roman" w:hAnsi="Times New Roman" w:eastAsia="方正仿宋_GBK" w:cs="Times New Roman"/>
          <w:sz w:val="32"/>
          <w:szCs w:val="32"/>
        </w:rPr>
        <w:t>2025年，越南工贸部升级电子原产地证系统，通过数字化提升原产地证透明度。2026年，越南工贸部公布关于进出口领域行政程序修订、补充的决定，核心影响集中在原产地证明签发、补发、重发、背对背证书、非优惠原产地证明以及东盟框架内自我认证等事项。该决定自2026年5月1日起施行，附件列明36项被修订、补充的行政程序，范围覆盖Form D、Form E、Form AK、Form AJ、Form VK、Form EAV、Form CPTPP、Form RCEP、Form EUR.1及UKVFTA项下EUR.1等多个优惠和非优惠原产地证明。</w:t>
      </w:r>
    </w:p>
    <w:p>
      <w:pPr>
        <w:spacing w:after="0" w:line="587" w:lineRule="exact"/>
        <w:ind w:firstLine="640" w:firstLineChars="200"/>
        <w:rPr>
          <w:rFonts w:hint="eastAsia"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</w:rPr>
        <w:t>四、重点产业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截至2025年，越南形成服务业为主、工业快速崛起、农业稳步收缩的产业格局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。其中，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服务业占GDP比重达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42.6%，为第一大支柱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产业，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以批发零售、物流仓储、旅游及金融为主，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伴随城镇化与外贸扩张快速扩容，成为经济增长贡献率最高的板块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农业虽占比持续下降，但稻米、咖啡、腰果、水产等特色农产品保持稳定产出与国际竞争力。制造业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电子信息、汽车制造及零部件、新能源、纺织服装与加工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农产品加工与食品制造五大产业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为主，并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呈现电子产业领跑、外资高度主导、出口依赖度高的结构特征。在地区分布上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形成“北高南轻、中重农底”的格局：电子信息、汽车制造、新能源由外资主导，集聚北部高端制造集群；中部以重工业、机械制造、汽车配套与资源加工为主，兼顾轻工与特色农业；纺织服装与轻工扎根南部，依托劳动力优势承接全球订单；农产品加工则分布于湄公河与红河平原，为经济提供基础支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《越南2026—2030年五年国民经济和社会发展规划》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显示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越南将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聚焦工业、数字经济、现代农业和高端服务业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个方面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加快转型升级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。其中，工业方面，优先发展高新技术产业、配套产业、绿色制造；壮大高端加工制造业，打造本土产业链供应链；布局半导体、新能源、生物医药等战略性新兴产业；2030年制造业占GDP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比重达到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28%。数字经济方面，落地数字经济2026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2030专项计划，数字经济占GDP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比重达到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30%；完善全国算力中心、5G全覆盖、电子政务、企业数字化改造；大力发展人工智能、大数据、数字贸易、元宇宙新业态。现代农业方面，发展规模化、高科技、有机生态农业；完善农产品冷链、溯源体系；扶持家庭农场、农业合作社，打造特色农产品全球品牌。高端服务业方面，发展金融、物流、跨境文旅、医疗康养、专业技术服务；打造世界级国家级旅游品牌；发展海洋经济、滨海服务产业。</w:t>
      </w:r>
    </w:p>
    <w:p>
      <w:pPr>
        <w:spacing w:after="0" w:line="587" w:lineRule="exact"/>
        <w:ind w:firstLine="640" w:firstLineChars="200"/>
        <w:rPr>
          <w:rFonts w:hint="eastAsia"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</w:rPr>
        <w:t>五、重点经贸法规政策速览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9"/>
        <w:rPr>
          <w:rFonts w:hint="eastAsia" w:ascii="Times New Roman" w:hAnsi="Times New Roman" w:eastAsia="方正小标宋_GBK" w:cs="Times New Roman"/>
          <w:sz w:val="28"/>
          <w:szCs w:val="28"/>
        </w:rPr>
      </w:pPr>
      <w:r>
        <w:rPr>
          <w:rFonts w:ascii="Times New Roman" w:hAnsi="Times New Roman" w:eastAsia="方正小标宋_GBK" w:cs="Times New Roman"/>
          <w:sz w:val="28"/>
          <w:szCs w:val="28"/>
        </w:rPr>
        <w:t>表2  越南重点</w:t>
      </w:r>
      <w:r>
        <w:rPr>
          <w:rFonts w:hint="eastAsia" w:ascii="Times New Roman" w:hAnsi="Times New Roman" w:eastAsia="方正小标宋_GBK" w:cs="Times New Roman"/>
          <w:sz w:val="28"/>
          <w:szCs w:val="28"/>
        </w:rPr>
        <w:t>经贸</w:t>
      </w:r>
      <w:r>
        <w:rPr>
          <w:rFonts w:ascii="Times New Roman" w:hAnsi="Times New Roman" w:eastAsia="方正小标宋_GBK" w:cs="Times New Roman"/>
          <w:sz w:val="28"/>
          <w:szCs w:val="28"/>
        </w:rPr>
        <w:t>法规政策</w:t>
      </w:r>
    </w:p>
    <w:tbl>
      <w:tblPr>
        <w:tblStyle w:val="8"/>
        <w:tblW w:w="88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459"/>
        <w:gridCol w:w="1447"/>
        <w:gridCol w:w="4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</w:tcPr>
          <w:p>
            <w:pPr>
              <w:spacing w:after="0" w:line="440" w:lineRule="exact"/>
              <w:jc w:val="center"/>
              <w:rPr>
                <w:rFonts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ascii="方正黑体_GBK" w:hAnsi="方正黑体_GBK" w:eastAsia="方正黑体_GBK" w:cs="Times New Roman"/>
                <w:sz w:val="28"/>
                <w:szCs w:val="28"/>
              </w:rPr>
              <w:t>分类</w:t>
            </w:r>
          </w:p>
        </w:tc>
        <w:tc>
          <w:tcPr>
            <w:tcW w:w="1459" w:type="dxa"/>
          </w:tcPr>
          <w:p>
            <w:pPr>
              <w:spacing w:after="0" w:line="440" w:lineRule="exact"/>
              <w:jc w:val="center"/>
              <w:rPr>
                <w:rFonts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ascii="方正黑体_GBK" w:hAnsi="方正黑体_GBK" w:eastAsia="方正黑体_GBK" w:cs="Times New Roman"/>
                <w:sz w:val="28"/>
                <w:szCs w:val="28"/>
              </w:rPr>
              <w:t>具体名称</w:t>
            </w:r>
          </w:p>
        </w:tc>
        <w:tc>
          <w:tcPr>
            <w:tcW w:w="1447" w:type="dxa"/>
          </w:tcPr>
          <w:p>
            <w:pPr>
              <w:spacing w:after="0" w:line="440" w:lineRule="exact"/>
              <w:jc w:val="center"/>
              <w:rPr>
                <w:rFonts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ascii="方正黑体_GBK" w:hAnsi="方正黑体_GBK" w:eastAsia="方正黑体_GBK" w:cs="Times New Roman"/>
                <w:sz w:val="28"/>
                <w:szCs w:val="28"/>
              </w:rPr>
              <w:t>生效时间</w:t>
            </w:r>
          </w:p>
        </w:tc>
        <w:tc>
          <w:tcPr>
            <w:tcW w:w="4893" w:type="dxa"/>
          </w:tcPr>
          <w:p>
            <w:pPr>
              <w:spacing w:after="0" w:line="440" w:lineRule="exact"/>
              <w:jc w:val="center"/>
              <w:rPr>
                <w:rFonts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ascii="方正黑体_GBK" w:hAnsi="方正黑体_GBK" w:eastAsia="方正黑体_GBK" w:cs="Times New Roman"/>
                <w:sz w:val="28"/>
                <w:szCs w:val="28"/>
              </w:rPr>
              <w:t>核心要求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投资</w:t>
            </w:r>
          </w:p>
        </w:tc>
        <w:tc>
          <w:tcPr>
            <w:tcW w:w="1459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投资法</w:t>
            </w:r>
          </w:p>
        </w:tc>
        <w:tc>
          <w:tcPr>
            <w:tcW w:w="1447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2025年</w:t>
            </w:r>
          </w:p>
        </w:tc>
        <w:tc>
          <w:tcPr>
            <w:tcW w:w="4893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明确规定27个禁止外商投资的行业、59个有市场准入限制条件的行业</w:t>
            </w:r>
            <w:r>
              <w:rPr>
                <w:rFonts w:hint="eastAsia" w:ascii="Times New Roman" w:hAnsi="Times New Roman" w:cs="Times New Roman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restart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知识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产权</w:t>
            </w:r>
          </w:p>
        </w:tc>
        <w:tc>
          <w:tcPr>
            <w:tcW w:w="1459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知识产权法（修订版）</w:t>
            </w:r>
          </w:p>
        </w:tc>
        <w:tc>
          <w:tcPr>
            <w:tcW w:w="1447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2026年</w:t>
            </w:r>
          </w:p>
        </w:tc>
        <w:tc>
          <w:tcPr>
            <w:tcW w:w="4893" w:type="dxa"/>
            <w:vAlign w:val="center"/>
          </w:tcPr>
          <w:p>
            <w:pPr>
              <w:spacing w:after="0" w:line="360" w:lineRule="exact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将知识产权认定为可评估、可交易并可作为抵押品的商业资产，将工业产权受理时间缩短约30%，商标审查周期由9个月缩短至5个月，新增线上执法措施，新增“储存”假冒商品作为行政违法行为</w:t>
            </w:r>
            <w:r>
              <w:rPr>
                <w:rFonts w:hint="eastAsia" w:ascii="Times New Roman" w:hAnsi="Times New Roman" w:cs="Times New Roman"/>
                <w:sz w:val="24"/>
              </w:rPr>
              <w:t>，</w:t>
            </w:r>
            <w:r>
              <w:rPr>
                <w:rFonts w:ascii="Times New Roman" w:hAnsi="Times New Roman" w:cs="Times New Roman"/>
                <w:sz w:val="24"/>
              </w:rPr>
              <w:t>提升法定赔偿额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等</w:t>
            </w:r>
            <w:r>
              <w:rPr>
                <w:rFonts w:hint="eastAsia" w:ascii="Times New Roman" w:hAnsi="Times New Roman" w:cs="Times New Roman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30" w:type="dxa"/>
            <w:vMerge w:val="continue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9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16" w:name="OLE_LINK7"/>
            <w:r>
              <w:rPr>
                <w:rFonts w:ascii="Times New Roman" w:hAnsi="Times New Roman" w:cs="Times New Roman"/>
                <w:sz w:val="24"/>
              </w:rPr>
              <w:t>民法典</w:t>
            </w:r>
            <w:bookmarkEnd w:id="16"/>
          </w:p>
        </w:tc>
        <w:tc>
          <w:tcPr>
            <w:tcW w:w="1447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2015年</w:t>
            </w:r>
          </w:p>
        </w:tc>
        <w:tc>
          <w:tcPr>
            <w:tcW w:w="4893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明确规定知识产权为民事权利，受民法保护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restart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税收</w:t>
            </w:r>
          </w:p>
        </w:tc>
        <w:tc>
          <w:tcPr>
            <w:tcW w:w="1459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企业所得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税法</w:t>
            </w:r>
          </w:p>
        </w:tc>
        <w:tc>
          <w:tcPr>
            <w:tcW w:w="1447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2023年修订</w:t>
            </w:r>
          </w:p>
        </w:tc>
        <w:tc>
          <w:tcPr>
            <w:tcW w:w="4893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企业所得税率一般为20%，符合条件的外资企业可享有10</w:t>
            </w:r>
            <w:r>
              <w:rPr>
                <w:rFonts w:hint="eastAsia" w:ascii="Times New Roman" w:hAnsi="Times New Roman" w:cs="Times New Roman"/>
                <w:sz w:val="24"/>
              </w:rPr>
              <w:t>%—</w:t>
            </w:r>
            <w:r>
              <w:rPr>
                <w:rFonts w:ascii="Times New Roman" w:hAnsi="Times New Roman" w:cs="Times New Roman"/>
                <w:sz w:val="24"/>
              </w:rPr>
              <w:t>17%的所得税优惠，并享受“四免九减半”或“六免十三减半”的优惠政策</w:t>
            </w:r>
            <w:r>
              <w:rPr>
                <w:rFonts w:hint="eastAsia" w:ascii="Times New Roman" w:hAnsi="Times New Roman" w:cs="Times New Roman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9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增值税法</w:t>
            </w:r>
          </w:p>
        </w:tc>
        <w:tc>
          <w:tcPr>
            <w:tcW w:w="1447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2025年修订</w:t>
            </w:r>
          </w:p>
        </w:tc>
        <w:tc>
          <w:tcPr>
            <w:tcW w:w="4893" w:type="dxa"/>
            <w:vAlign w:val="center"/>
          </w:tcPr>
          <w:p>
            <w:pPr>
              <w:spacing w:after="0" w:line="360" w:lineRule="exact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增值税率有三档：0%、5%和10%，出口加工企业出口产品免征增值税；2025年7月1日至2026年12月31日，商品和服务的增值税税率由10%降至8%；外国供应商通过电商平台向越南销售商品/服务需缴纳10%增值税</w:t>
            </w:r>
            <w:r>
              <w:rPr>
                <w:rFonts w:hint="eastAsia" w:ascii="Times New Roman" w:hAnsi="Times New Roman" w:cs="Times New Roman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9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个人所得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税法</w:t>
            </w:r>
          </w:p>
        </w:tc>
        <w:tc>
          <w:tcPr>
            <w:tcW w:w="1447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2023年修订</w:t>
            </w:r>
          </w:p>
        </w:tc>
        <w:tc>
          <w:tcPr>
            <w:tcW w:w="4893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月收入超过1100万越盾的个人需缴纳个人所得税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lang w:eastAsia="zh-CN"/>
              </w:rPr>
              <w:t>，</w:t>
            </w:r>
            <w:r>
              <w:rPr>
                <w:rFonts w:ascii="Times New Roman" w:hAnsi="Times New Roman" w:cs="Times New Roman"/>
                <w:sz w:val="24"/>
                <w:highlight w:val="none"/>
              </w:rPr>
              <w:t>实行5%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—</w:t>
            </w:r>
            <w:r>
              <w:rPr>
                <w:rFonts w:ascii="Times New Roman" w:hAnsi="Times New Roman" w:cs="Times New Roman"/>
                <w:sz w:val="24"/>
                <w:highlight w:val="none"/>
              </w:rPr>
              <w:t>35%的累进税率；非居民外国人仅就来源于越南的收入纳税，第1年适用25%的税率，以后各年度适用外国居民应征税率。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30" w:type="dxa"/>
            <w:vMerge w:val="continue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9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特别消费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税法</w:t>
            </w:r>
          </w:p>
        </w:tc>
        <w:tc>
          <w:tcPr>
            <w:tcW w:w="1447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2024年修订</w:t>
            </w:r>
          </w:p>
        </w:tc>
        <w:tc>
          <w:tcPr>
            <w:tcW w:w="4893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烟叶制品征收75%；酒类根据度数征收35%或65%（啤酒为65%）；9座以下汽车根据排量征收35%</w:t>
            </w:r>
            <w:r>
              <w:rPr>
                <w:rFonts w:hint="eastAsia" w:ascii="Times New Roman" w:hAnsi="Times New Roman" w:cs="Times New Roman"/>
                <w:sz w:val="24"/>
              </w:rPr>
              <w:t>—</w:t>
            </w:r>
            <w:r>
              <w:rPr>
                <w:rFonts w:ascii="Times New Roman" w:hAnsi="Times New Roman" w:cs="Times New Roman"/>
                <w:sz w:val="24"/>
              </w:rPr>
              <w:t>150%；新能源混合动力汽车税负为同类排量汽车的70%；生物燃料汽车税负为同类排量汽车的50%；汽缸容量超过125立方厘米的两轮摩托车和三轮摩托车税率为20%；歌舞厅、赌场、高尔夫球场等娱乐经营征收15%</w:t>
            </w:r>
            <w:r>
              <w:rPr>
                <w:rFonts w:hint="eastAsia" w:ascii="Times New Roman" w:hAnsi="Times New Roman" w:cs="Times New Roman"/>
                <w:sz w:val="24"/>
              </w:rPr>
              <w:t>—</w:t>
            </w:r>
            <w:r>
              <w:rPr>
                <w:rFonts w:ascii="Times New Roman" w:hAnsi="Times New Roman" w:cs="Times New Roman"/>
                <w:sz w:val="24"/>
              </w:rPr>
              <w:t>40%不等。</w:t>
            </w:r>
          </w:p>
        </w:tc>
      </w:tr>
    </w:tbl>
    <w:p>
      <w:pPr>
        <w:spacing w:line="587" w:lineRule="exact"/>
        <w:rPr>
          <w:rFonts w:ascii="Times New Roman" w:hAnsi="Times New Roman" w:eastAsia="方正楷体_GBK" w:cs="Times New Roman"/>
          <w:sz w:val="32"/>
          <w:szCs w:val="32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0051D4"/>
    <w:rsid w:val="000334E9"/>
    <w:rsid w:val="000404B4"/>
    <w:rsid w:val="000C594E"/>
    <w:rsid w:val="000E3909"/>
    <w:rsid w:val="0018719E"/>
    <w:rsid w:val="00264153"/>
    <w:rsid w:val="00270DFD"/>
    <w:rsid w:val="00376892"/>
    <w:rsid w:val="00410615"/>
    <w:rsid w:val="00475F50"/>
    <w:rsid w:val="00490966"/>
    <w:rsid w:val="004A3CD8"/>
    <w:rsid w:val="004A7D7D"/>
    <w:rsid w:val="00513A71"/>
    <w:rsid w:val="00582AE4"/>
    <w:rsid w:val="005C66EF"/>
    <w:rsid w:val="00615961"/>
    <w:rsid w:val="00633B94"/>
    <w:rsid w:val="0068565D"/>
    <w:rsid w:val="006954D5"/>
    <w:rsid w:val="006E0440"/>
    <w:rsid w:val="00706162"/>
    <w:rsid w:val="00755A8D"/>
    <w:rsid w:val="00787E01"/>
    <w:rsid w:val="007C68E5"/>
    <w:rsid w:val="007E0ACD"/>
    <w:rsid w:val="008E33F6"/>
    <w:rsid w:val="008E75E1"/>
    <w:rsid w:val="0090614B"/>
    <w:rsid w:val="0092610A"/>
    <w:rsid w:val="00962D63"/>
    <w:rsid w:val="00A128B8"/>
    <w:rsid w:val="00AA657F"/>
    <w:rsid w:val="00AB32F5"/>
    <w:rsid w:val="00B15716"/>
    <w:rsid w:val="00B9430C"/>
    <w:rsid w:val="00BB7892"/>
    <w:rsid w:val="00C25F54"/>
    <w:rsid w:val="00C33392"/>
    <w:rsid w:val="00C366BD"/>
    <w:rsid w:val="00C77F40"/>
    <w:rsid w:val="00CC6069"/>
    <w:rsid w:val="00CE352D"/>
    <w:rsid w:val="00D309F2"/>
    <w:rsid w:val="00D3546E"/>
    <w:rsid w:val="00D64730"/>
    <w:rsid w:val="00D732DC"/>
    <w:rsid w:val="00D740DB"/>
    <w:rsid w:val="00DA387F"/>
    <w:rsid w:val="00DB3B97"/>
    <w:rsid w:val="00DD011B"/>
    <w:rsid w:val="00E260AA"/>
    <w:rsid w:val="00E36A47"/>
    <w:rsid w:val="00E36C96"/>
    <w:rsid w:val="00E65613"/>
    <w:rsid w:val="00E86FA7"/>
    <w:rsid w:val="00EB6F52"/>
    <w:rsid w:val="00F140F4"/>
    <w:rsid w:val="00F742CF"/>
    <w:rsid w:val="00F773EA"/>
    <w:rsid w:val="00FA19D4"/>
    <w:rsid w:val="05EE4CF6"/>
    <w:rsid w:val="0603454B"/>
    <w:rsid w:val="078D319B"/>
    <w:rsid w:val="099B184E"/>
    <w:rsid w:val="0C0B62A7"/>
    <w:rsid w:val="100F7BDA"/>
    <w:rsid w:val="10294471"/>
    <w:rsid w:val="14124C3F"/>
    <w:rsid w:val="144D6BD6"/>
    <w:rsid w:val="14B11E0F"/>
    <w:rsid w:val="14C80CBD"/>
    <w:rsid w:val="193975D1"/>
    <w:rsid w:val="19CF615C"/>
    <w:rsid w:val="1BB02078"/>
    <w:rsid w:val="1DE653AE"/>
    <w:rsid w:val="1E083603"/>
    <w:rsid w:val="1EF36417"/>
    <w:rsid w:val="1F0051D4"/>
    <w:rsid w:val="209E0B02"/>
    <w:rsid w:val="21950A62"/>
    <w:rsid w:val="274D2836"/>
    <w:rsid w:val="28B21D3C"/>
    <w:rsid w:val="29C355CB"/>
    <w:rsid w:val="2AE46CB0"/>
    <w:rsid w:val="2FF63C3A"/>
    <w:rsid w:val="31AC78F9"/>
    <w:rsid w:val="34B77D2B"/>
    <w:rsid w:val="355A2A02"/>
    <w:rsid w:val="3665703B"/>
    <w:rsid w:val="37156E42"/>
    <w:rsid w:val="38430AC0"/>
    <w:rsid w:val="3AD937D9"/>
    <w:rsid w:val="3B4F1713"/>
    <w:rsid w:val="3B9D47B6"/>
    <w:rsid w:val="3DAA78D3"/>
    <w:rsid w:val="3F612A03"/>
    <w:rsid w:val="3FB41DB3"/>
    <w:rsid w:val="3FCF4632"/>
    <w:rsid w:val="4061122C"/>
    <w:rsid w:val="448132D0"/>
    <w:rsid w:val="451470E8"/>
    <w:rsid w:val="48556899"/>
    <w:rsid w:val="4A0D5884"/>
    <w:rsid w:val="4D9238B3"/>
    <w:rsid w:val="509126BC"/>
    <w:rsid w:val="5174781F"/>
    <w:rsid w:val="54A263F2"/>
    <w:rsid w:val="56E207F0"/>
    <w:rsid w:val="597D569A"/>
    <w:rsid w:val="59D15209"/>
    <w:rsid w:val="5AB14AEF"/>
    <w:rsid w:val="5B9E0850"/>
    <w:rsid w:val="607F25DE"/>
    <w:rsid w:val="60C57320"/>
    <w:rsid w:val="61045F8D"/>
    <w:rsid w:val="64B549D3"/>
    <w:rsid w:val="66DC65E4"/>
    <w:rsid w:val="68057FFF"/>
    <w:rsid w:val="69146BFE"/>
    <w:rsid w:val="69D00136"/>
    <w:rsid w:val="6BB30B5F"/>
    <w:rsid w:val="6DAE156B"/>
    <w:rsid w:val="6FB8783F"/>
    <w:rsid w:val="732D44FE"/>
    <w:rsid w:val="746E66A3"/>
    <w:rsid w:val="762A0A10"/>
    <w:rsid w:val="772D721A"/>
    <w:rsid w:val="77A42C98"/>
    <w:rsid w:val="77C92990"/>
    <w:rsid w:val="7F1B5451"/>
    <w:rsid w:val="7F4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spacing w:beforeAutospacing="1" w:after="0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12"/>
    <w:semiHidden/>
    <w:unhideWhenUsed/>
    <w:qFormat/>
    <w:uiPriority w:val="0"/>
    <w:pPr>
      <w:keepNext/>
      <w:keepLines/>
      <w:spacing w:line="560" w:lineRule="exact"/>
      <w:ind w:firstLine="640" w:firstLineChars="200"/>
      <w:outlineLvl w:val="1"/>
    </w:pPr>
    <w:rPr>
      <w:rFonts w:eastAsia="方正楷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keepNext/>
      <w:keepLines/>
      <w:spacing w:line="587" w:lineRule="exact"/>
      <w:ind w:firstLine="640" w:firstLineChars="200"/>
      <w:outlineLvl w:val="2"/>
    </w:pPr>
    <w:rPr>
      <w:rFonts w:eastAsia="方正仿宋_GBK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标题 1 字符"/>
    <w:basedOn w:val="9"/>
    <w:link w:val="2"/>
    <w:qFormat/>
    <w:uiPriority w:val="9"/>
    <w:rPr>
      <w:rFonts w:eastAsia="方正黑体_GBK" w:cs="Times New Roman" w:asciiTheme="minorHAnsi" w:hAnsiTheme="minorHAnsi"/>
      <w:bCs/>
      <w:kern w:val="44"/>
      <w:sz w:val="32"/>
      <w:szCs w:val="44"/>
    </w:rPr>
  </w:style>
  <w:style w:type="character" w:customStyle="1" w:styleId="12">
    <w:name w:val="标题 2 字符"/>
    <w:basedOn w:val="9"/>
    <w:link w:val="3"/>
    <w:qFormat/>
    <w:uiPriority w:val="9"/>
    <w:rPr>
      <w:rFonts w:eastAsia="方正楷体_GBK" w:asciiTheme="majorHAnsi" w:hAnsiTheme="majorHAnsi" w:cstheme="majorBidi"/>
      <w:bCs/>
      <w:sz w:val="32"/>
      <w:szCs w:val="32"/>
    </w:rPr>
  </w:style>
  <w:style w:type="character" w:customStyle="1" w:styleId="13">
    <w:name w:val="标题 3 字符"/>
    <w:basedOn w:val="9"/>
    <w:link w:val="4"/>
    <w:qFormat/>
    <w:uiPriority w:val="0"/>
    <w:rPr>
      <w:rFonts w:eastAsia="方正仿宋_GBK" w:asciiTheme="minorHAnsi" w:hAnsiTheme="minorHAnsi" w:cstheme="minorBidi"/>
      <w:b/>
      <w:bCs/>
      <w:kern w:val="2"/>
      <w:sz w:val="32"/>
      <w:szCs w:val="32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3.xml"/><Relationship Id="rId8" Type="http://schemas.openxmlformats.org/officeDocument/2006/relationships/chart" Target="charts/chart2.xml"/><Relationship Id="rId7" Type="http://schemas.openxmlformats.org/officeDocument/2006/relationships/chart" Target="charts/chart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&#24037;&#20316;&#31807;1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&#24037;&#20316;&#31807;1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&#24037;&#20316;&#31807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true"/>
    <c:plotArea>
      <c:layout>
        <c:manualLayout>
          <c:layoutTarget val="inner"/>
          <c:xMode val="edge"/>
          <c:yMode val="edge"/>
          <c:x val="0.106896185943685"/>
          <c:y val="0.0752427943396343"/>
          <c:w val="0.817182793107603"/>
          <c:h val="0.684656329553344"/>
        </c:manualLayout>
      </c:layout>
      <c:barChart>
        <c:barDir val="col"/>
        <c:grouping val="clustered"/>
        <c:varyColors val="false"/>
        <c:ser>
          <c:idx val="0"/>
          <c:order val="0"/>
          <c:tx>
            <c:strRef>
              <c:f>[工作簿1]Sheet3!$C$4</c:f>
              <c:strCache>
                <c:ptCount val="1"/>
                <c:pt idx="0">
                  <c:v>江苏出口至越南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false"/>
          <c:dLbls>
            <c:dLbl>
              <c:idx val="1"/>
              <c:layout>
                <c:manualLayout>
                  <c:x val="0.00284495021337127"/>
                  <c:y val="0.0901639344262295"/>
                </c:manualLayout>
              </c:layout>
              <c:dLblPos val="ct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00142247510668563"/>
                  <c:y val="0.0737704918032787"/>
                </c:manualLayout>
              </c:layout>
              <c:dLblPos val="ct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true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[工作簿1]Sheet3!$B$5:$B$9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[工作簿1]Sheet3!$C$5:$C$9</c:f>
              <c:numCache>
                <c:formatCode>0.0_ </c:formatCode>
                <c:ptCount val="5"/>
                <c:pt idx="0">
                  <c:v>223.63</c:v>
                </c:pt>
                <c:pt idx="1">
                  <c:v>225.07</c:v>
                </c:pt>
                <c:pt idx="2">
                  <c:v>204.01</c:v>
                </c:pt>
                <c:pt idx="3">
                  <c:v>236.1</c:v>
                </c:pt>
                <c:pt idx="4">
                  <c:v>332.97</c:v>
                </c:pt>
              </c:numCache>
            </c:numRef>
          </c:val>
        </c:ser>
        <c:ser>
          <c:idx val="1"/>
          <c:order val="1"/>
          <c:tx>
            <c:strRef>
              <c:f>[工作簿1]Sheet3!$D$4</c:f>
              <c:strCache>
                <c:ptCount val="1"/>
                <c:pt idx="0">
                  <c:v>江苏自越南进口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false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true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[工作簿1]Sheet3!$B$5:$B$9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[工作簿1]Sheet3!$D$5:$D$9</c:f>
              <c:numCache>
                <c:formatCode>0.0_ </c:formatCode>
                <c:ptCount val="5"/>
                <c:pt idx="0">
                  <c:v>96.24</c:v>
                </c:pt>
                <c:pt idx="1">
                  <c:v>117.96</c:v>
                </c:pt>
                <c:pt idx="2">
                  <c:v>141.21</c:v>
                </c:pt>
                <c:pt idx="3">
                  <c:v>146.22</c:v>
                </c:pt>
                <c:pt idx="4">
                  <c:v>127.37</c:v>
                </c:pt>
              </c:numCache>
            </c:numRef>
          </c:val>
        </c:ser>
        <c:dLbls>
          <c:showLegendKey val="false"/>
          <c:showVal val="true"/>
          <c:showCatName val="false"/>
          <c:showSerName val="false"/>
          <c:showPercent val="false"/>
          <c:showBubbleSize val="false"/>
        </c:dLbls>
        <c:gapWidth val="219"/>
        <c:overlap val="-27"/>
        <c:axId val="573590551"/>
        <c:axId val="984879824"/>
      </c:barChart>
      <c:lineChart>
        <c:grouping val="standard"/>
        <c:varyColors val="false"/>
        <c:ser>
          <c:idx val="2"/>
          <c:order val="2"/>
          <c:tx>
            <c:strRef>
              <c:f>[工作簿1]Sheet3!$E$4</c:f>
              <c:strCache>
                <c:ptCount val="1"/>
                <c:pt idx="0">
                  <c:v>出口同比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0.0384068278805121"/>
                  <c:y val="-0.0327868852459016"/>
                </c:manualLayout>
              </c:layout>
              <c:dLblPos val="b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dLblPos val="t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0412517780938834"/>
                  <c:y val="-0.046448087431694"/>
                </c:manualLayout>
              </c:layout>
              <c:dLblPos val="b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b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true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[工作簿1]Sheet3!$B$5:$B$9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[工作簿1]Sheet3!$E$5:$E$9</c:f>
              <c:numCache>
                <c:formatCode>0.0%</c:formatCode>
                <c:ptCount val="5"/>
                <c:pt idx="0">
                  <c:v>0.299267952591215</c:v>
                </c:pt>
                <c:pt idx="1">
                  <c:v>0.00643920761972901</c:v>
                </c:pt>
                <c:pt idx="2">
                  <c:v>-0.0935708890567379</c:v>
                </c:pt>
                <c:pt idx="3">
                  <c:v>0.157296210970051</c:v>
                </c:pt>
                <c:pt idx="4">
                  <c:v>0.410292249047014</c:v>
                </c:pt>
              </c:numCache>
            </c:numRef>
          </c:val>
          <c:smooth val="false"/>
        </c:ser>
        <c:ser>
          <c:idx val="3"/>
          <c:order val="3"/>
          <c:tx>
            <c:strRef>
              <c:f>[工作簿1]Sheet3!$F$4</c:f>
              <c:strCache>
                <c:ptCount val="1"/>
                <c:pt idx="0">
                  <c:v>进口同比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0.0341394025604552"/>
                  <c:y val="0.0573770491803279"/>
                </c:manualLayout>
              </c:layout>
              <c:dLblPos val="t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227596017069701"/>
                  <c:y val="0.0355191256830601"/>
                </c:manualLayout>
              </c:layout>
              <c:dLblPos val="t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58321479374111"/>
                  <c:y val="0.0628415300546448"/>
                </c:manualLayout>
              </c:layout>
              <c:dLblPos val="t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t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true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[工作簿1]Sheet3!$B$5:$B$9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[工作簿1]Sheet3!$F$5:$F$9</c:f>
              <c:numCache>
                <c:formatCode>0.0%</c:formatCode>
                <c:ptCount val="5"/>
                <c:pt idx="0">
                  <c:v>0.453337360314104</c:v>
                </c:pt>
                <c:pt idx="1">
                  <c:v>0.22568578553616</c:v>
                </c:pt>
                <c:pt idx="2">
                  <c:v>0.197100712105799</c:v>
                </c:pt>
                <c:pt idx="3">
                  <c:v>0.0354790737199914</c:v>
                </c:pt>
                <c:pt idx="4">
                  <c:v>-0.128915333059773</c:v>
                </c:pt>
              </c:numCache>
            </c:numRef>
          </c:val>
          <c:smooth val="false"/>
        </c:ser>
        <c:dLbls>
          <c:showLegendKey val="false"/>
          <c:showVal val="true"/>
          <c:showCatName val="false"/>
          <c:showSerName val="false"/>
          <c:showPercent val="false"/>
          <c:showBubbleSize val="false"/>
        </c:dLbls>
        <c:marker val="true"/>
        <c:smooth val="false"/>
        <c:axId val="42459962"/>
        <c:axId val="855113419"/>
      </c:lineChart>
      <c:catAx>
        <c:axId val="573590551"/>
        <c:scaling>
          <c:orientation val="minMax"/>
        </c:scaling>
        <c:delete val="false"/>
        <c:axPos val="b"/>
        <c:numFmt formatCode="General" sourceLinked="false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984879824"/>
        <c:crosses val="autoZero"/>
        <c:auto val="true"/>
        <c:lblAlgn val="ctr"/>
        <c:lblOffset val="100"/>
        <c:noMultiLvlLbl val="false"/>
      </c:catAx>
      <c:valAx>
        <c:axId val="984879824"/>
        <c:scaling>
          <c:orientation val="minMax"/>
        </c:scaling>
        <c:delete val="false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0" vertOverflow="ellipsis" vert="eaVert" wrap="square" anchor="ctr" anchorCtr="true"/>
              <a:lstStyle/>
              <a:p>
                <a:pPr defTabSz="914400"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>
                    <a:solidFill>
                      <a:sysClr val="windowText" lastClr="000000"/>
                    </a:solidFill>
                  </a:rPr>
                  <a:t>单位：亿美元</a:t>
                </a:r>
                <a:endParaRPr lang="zh-CN" altLang="en-US">
                  <a:solidFill>
                    <a:sysClr val="windowText" lastClr="000000"/>
                  </a:solidFill>
                </a:endParaRPr>
              </a:p>
            </c:rich>
          </c:tx>
          <c:layout/>
          <c:overlay val="false"/>
          <c:spPr>
            <a:noFill/>
            <a:ln>
              <a:noFill/>
            </a:ln>
            <a:effectLst/>
          </c:spPr>
        </c:title>
        <c:numFmt formatCode="0_);[Red]\(0\)" sourceLinked="false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573590551"/>
        <c:crosses val="autoZero"/>
        <c:crossBetween val="between"/>
      </c:valAx>
      <c:catAx>
        <c:axId val="42459962"/>
        <c:scaling>
          <c:orientation val="minMax"/>
        </c:scaling>
        <c:delete val="true"/>
        <c:axPos val="b"/>
        <c:numFmt formatCode="General" sourceLinked="true"/>
        <c:majorTickMark val="out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55113419"/>
        <c:crosses val="autoZero"/>
        <c:auto val="true"/>
        <c:lblAlgn val="ctr"/>
        <c:lblOffset val="100"/>
        <c:noMultiLvlLbl val="false"/>
      </c:catAx>
      <c:valAx>
        <c:axId val="855113419"/>
        <c:scaling>
          <c:orientation val="minMax"/>
        </c:scaling>
        <c:delete val="false"/>
        <c:axPos val="r"/>
        <c:numFmt formatCode="0%" sourceLinked="false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42459962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ea"/>
                <a:ea typeface="+mn-ea"/>
                <a:cs typeface="+mn-cs"/>
              </a:defRPr>
            </a:pPr>
          </a:p>
        </c:txPr>
      </c:legendEntry>
      <c:layout>
        <c:manualLayout>
          <c:xMode val="edge"/>
          <c:yMode val="edge"/>
          <c:x val="0.0866536999763853"/>
          <c:y val="0.897832548548076"/>
          <c:w val="0.850222918423907"/>
          <c:h val="0.078107466374618"/>
        </c:manualLayout>
      </c:layout>
      <c:overlay val="false"/>
      <c:spPr>
        <a:noFill/>
        <a:ln>
          <a:noFill/>
        </a:ln>
        <a:effectLst/>
      </c:spPr>
      <c:txPr>
        <a:bodyPr rot="0" spcFirstLastPara="0" vertOverflow="ellipsis" vert="horz" wrap="square" anchor="ctr" anchorCtr="true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+mn-ea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false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true"/>
    <c:plotArea>
      <c:layout>
        <c:manualLayout>
          <c:layoutTarget val="inner"/>
          <c:xMode val="edge"/>
          <c:yMode val="edge"/>
          <c:x val="0.116851379849195"/>
          <c:y val="0.0618768807745186"/>
          <c:w val="0.800203487931061"/>
          <c:h val="0.732268518518518"/>
        </c:manualLayout>
      </c:layout>
      <c:barChart>
        <c:barDir val="col"/>
        <c:grouping val="clustered"/>
        <c:varyColors val="false"/>
        <c:ser>
          <c:idx val="0"/>
          <c:order val="0"/>
          <c:tx>
            <c:strRef>
              <c:f>[工作簿1]Sheet4!$H$4</c:f>
              <c:strCache>
                <c:ptCount val="1"/>
                <c:pt idx="0">
                  <c:v>中方协议投资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false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true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[工作簿1]Sheet4!$C$5:$C$9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[工作簿1]Sheet4!$H$5:$H$9</c:f>
              <c:numCache>
                <c:formatCode>0.0_ </c:formatCode>
                <c:ptCount val="5"/>
                <c:pt idx="0">
                  <c:v>3.101874</c:v>
                </c:pt>
                <c:pt idx="1">
                  <c:v>8.227915</c:v>
                </c:pt>
                <c:pt idx="2">
                  <c:v>11.3474</c:v>
                </c:pt>
                <c:pt idx="3">
                  <c:v>15.4292</c:v>
                </c:pt>
                <c:pt idx="4">
                  <c:v>11.5177</c:v>
                </c:pt>
              </c:numCache>
            </c:numRef>
          </c:val>
        </c:ser>
        <c:dLbls>
          <c:showLegendKey val="false"/>
          <c:showVal val="true"/>
          <c:showCatName val="false"/>
          <c:showSerName val="false"/>
          <c:showPercent val="false"/>
          <c:showBubbleSize val="false"/>
        </c:dLbls>
        <c:gapWidth val="219"/>
        <c:overlap val="-27"/>
        <c:axId val="979014604"/>
        <c:axId val="997799137"/>
      </c:barChart>
      <c:lineChart>
        <c:grouping val="standard"/>
        <c:varyColors val="false"/>
        <c:ser>
          <c:idx val="1"/>
          <c:order val="1"/>
          <c:tx>
            <c:strRef>
              <c:f>[工作簿1]Sheet4!$I$4</c:f>
              <c:strCache>
                <c:ptCount val="1"/>
                <c:pt idx="0">
                  <c:v>同比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r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true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[工作簿1]Sheet4!$C$5:$C$9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[工作簿1]Sheet4!$I$5:$I$9</c:f>
              <c:numCache>
                <c:formatCode>0.0%</c:formatCode>
                <c:ptCount val="5"/>
                <c:pt idx="0">
                  <c:v>0.3256</c:v>
                </c:pt>
                <c:pt idx="1">
                  <c:v>1.6526</c:v>
                </c:pt>
                <c:pt idx="2">
                  <c:v>0.3791</c:v>
                </c:pt>
                <c:pt idx="3">
                  <c:v>0.3597</c:v>
                </c:pt>
                <c:pt idx="4">
                  <c:v>-0.2535</c:v>
                </c:pt>
              </c:numCache>
            </c:numRef>
          </c:val>
          <c:smooth val="false"/>
        </c:ser>
        <c:ser>
          <c:idx val="2"/>
          <c:order val="2"/>
          <c:tx>
            <c:strRef>
              <c:f>[工作簿1]Sheet4!$J$4</c:f>
              <c:strCache>
                <c:ptCount val="1"/>
                <c:pt idx="0">
                  <c:v>占江苏总额比重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b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true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[工作簿1]Sheet4!$C$5:$C$9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[工作簿1]Sheet4!$J$5:$J$9</c:f>
              <c:numCache>
                <c:formatCode>0.0%</c:formatCode>
                <c:ptCount val="5"/>
                <c:pt idx="0">
                  <c:v>0.0465</c:v>
                </c:pt>
                <c:pt idx="1">
                  <c:v>0.0851</c:v>
                </c:pt>
                <c:pt idx="2">
                  <c:v>0.1017</c:v>
                </c:pt>
                <c:pt idx="3">
                  <c:v>0.1307</c:v>
                </c:pt>
                <c:pt idx="4">
                  <c:v>0.124</c:v>
                </c:pt>
              </c:numCache>
            </c:numRef>
          </c:val>
          <c:smooth val="false"/>
        </c:ser>
        <c:dLbls>
          <c:showLegendKey val="false"/>
          <c:showVal val="true"/>
          <c:showCatName val="false"/>
          <c:showSerName val="false"/>
          <c:showPercent val="false"/>
          <c:showBubbleSize val="false"/>
        </c:dLbls>
        <c:marker val="true"/>
        <c:smooth val="false"/>
        <c:axId val="429527839"/>
        <c:axId val="465626707"/>
      </c:lineChart>
      <c:catAx>
        <c:axId val="979014604"/>
        <c:scaling>
          <c:orientation val="minMax"/>
        </c:scaling>
        <c:delete val="false"/>
        <c:axPos val="b"/>
        <c:numFmt formatCode="General" sourceLinked="false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997799137"/>
        <c:crosses val="autoZero"/>
        <c:auto val="true"/>
        <c:lblAlgn val="ctr"/>
        <c:lblOffset val="100"/>
        <c:noMultiLvlLbl val="false"/>
      </c:catAx>
      <c:valAx>
        <c:axId val="997799137"/>
        <c:scaling>
          <c:orientation val="minMax"/>
        </c:scaling>
        <c:delete val="false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0" vertOverflow="ellipsis" vert="eaVert" wrap="square" anchor="ctr" anchorCtr="true"/>
              <a:lstStyle/>
              <a:p>
                <a:pPr defTabSz="914400"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>
                    <a:solidFill>
                      <a:sysClr val="windowText" lastClr="000000"/>
                    </a:solidFill>
                  </a:rPr>
                  <a:t>单位：亿美元</a:t>
                </a:r>
                <a:endParaRPr lang="zh-CN" altLang="en-US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0233212719797309"/>
              <c:y val="0.304618845721208"/>
            </c:manualLayout>
          </c:layout>
          <c:overlay val="false"/>
          <c:spPr>
            <a:noFill/>
            <a:ln>
              <a:noFill/>
            </a:ln>
            <a:effectLst/>
          </c:spPr>
        </c:title>
        <c:numFmt formatCode="0_);[Red]\(0\)" sourceLinked="false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979014604"/>
        <c:crosses val="autoZero"/>
        <c:crossBetween val="between"/>
      </c:valAx>
      <c:catAx>
        <c:axId val="429527839"/>
        <c:scaling>
          <c:orientation val="minMax"/>
        </c:scaling>
        <c:delete val="true"/>
        <c:axPos val="b"/>
        <c:numFmt formatCode="General" sourceLinked="true"/>
        <c:majorTickMark val="out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65626707"/>
        <c:crosses val="autoZero"/>
        <c:auto val="true"/>
        <c:lblAlgn val="ctr"/>
        <c:lblOffset val="100"/>
        <c:noMultiLvlLbl val="false"/>
      </c:catAx>
      <c:valAx>
        <c:axId val="465626707"/>
        <c:scaling>
          <c:orientation val="minMax"/>
        </c:scaling>
        <c:delete val="false"/>
        <c:axPos val="r"/>
        <c:numFmt formatCode="0%" sourceLinked="false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429527839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8901278958627"/>
          <c:y val="0.896436022420274"/>
          <c:w val="0.598265895953757"/>
          <c:h val="0.082418159268553"/>
        </c:manualLayout>
      </c:layout>
      <c:overlay val="false"/>
      <c:spPr>
        <a:noFill/>
        <a:ln>
          <a:noFill/>
        </a:ln>
        <a:effectLst/>
      </c:spPr>
      <c:txPr>
        <a:bodyPr rot="0" spcFirstLastPara="0" vertOverflow="ellipsis" vert="horz" wrap="square" anchor="ctr" anchorCtr="true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+mn-ea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false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true"/>
    <c:plotArea>
      <c:layout>
        <c:manualLayout>
          <c:layoutTarget val="inner"/>
          <c:xMode val="edge"/>
          <c:yMode val="edge"/>
          <c:x val="0.105312658871378"/>
          <c:y val="0.140509259259259"/>
          <c:w val="0.802846975088968"/>
          <c:h val="0.642685185185185"/>
        </c:manualLayout>
      </c:layout>
      <c:barChart>
        <c:barDir val="col"/>
        <c:grouping val="clustered"/>
        <c:varyColors val="false"/>
        <c:ser>
          <c:idx val="0"/>
          <c:order val="0"/>
          <c:tx>
            <c:strRef>
              <c:f>[工作簿1]Sheet5!$D$3</c:f>
              <c:strCache>
                <c:ptCount val="1"/>
                <c:pt idx="0">
                  <c:v>新签合同额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false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inBase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true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[工作簿1]Sheet5!$C$4:$C$8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[工作簿1]Sheet5!$D$4:$D$8</c:f>
              <c:numCache>
                <c:formatCode>0.0_ </c:formatCode>
                <c:ptCount val="5"/>
                <c:pt idx="0">
                  <c:v>6.869035</c:v>
                </c:pt>
                <c:pt idx="1">
                  <c:v>3.610796</c:v>
                </c:pt>
                <c:pt idx="2">
                  <c:v>6.0278</c:v>
                </c:pt>
                <c:pt idx="3">
                  <c:v>2.86408</c:v>
                </c:pt>
                <c:pt idx="4">
                  <c:v>4.02482</c:v>
                </c:pt>
              </c:numCache>
            </c:numRef>
          </c:val>
        </c:ser>
        <c:ser>
          <c:idx val="2"/>
          <c:order val="2"/>
          <c:tx>
            <c:strRef>
              <c:f>[工作簿1]Sheet5!$F$3</c:f>
              <c:strCache>
                <c:ptCount val="1"/>
                <c:pt idx="0">
                  <c:v>完成营业额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false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inBase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true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[工作簿1]Sheet5!$C$4:$C$8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[工作簿1]Sheet5!$F$4:$F$8</c:f>
              <c:numCache>
                <c:formatCode>0.0_ </c:formatCode>
                <c:ptCount val="5"/>
                <c:pt idx="0">
                  <c:v>2.628782</c:v>
                </c:pt>
                <c:pt idx="1">
                  <c:v>4.91772683</c:v>
                </c:pt>
                <c:pt idx="2">
                  <c:v>6.0873</c:v>
                </c:pt>
                <c:pt idx="3">
                  <c:v>6.0476674</c:v>
                </c:pt>
                <c:pt idx="4">
                  <c:v>3.608838</c:v>
                </c:pt>
              </c:numCache>
            </c:numRef>
          </c:val>
        </c:ser>
        <c:dLbls>
          <c:showLegendKey val="false"/>
          <c:showVal val="true"/>
          <c:showCatName val="false"/>
          <c:showSerName val="false"/>
          <c:showPercent val="false"/>
          <c:showBubbleSize val="false"/>
        </c:dLbls>
        <c:gapWidth val="219"/>
        <c:overlap val="-27"/>
        <c:axId val="64725153"/>
        <c:axId val="42139612"/>
      </c:barChart>
      <c:lineChart>
        <c:grouping val="standard"/>
        <c:varyColors val="false"/>
        <c:ser>
          <c:idx val="1"/>
          <c:order val="1"/>
          <c:tx>
            <c:strRef>
              <c:f>[工作簿1]Sheet5!$E$3</c:f>
              <c:strCache>
                <c:ptCount val="1"/>
                <c:pt idx="0">
                  <c:v>新签合同额同比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t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true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[工作簿1]Sheet5!$C$4:$C$8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[工作簿1]Sheet5!$E$4:$E$8</c:f>
              <c:numCache>
                <c:formatCode>0.0%</c:formatCode>
                <c:ptCount val="5"/>
                <c:pt idx="0">
                  <c:v>2.49362198536455</c:v>
                </c:pt>
                <c:pt idx="1">
                  <c:v>-0.474337224952268</c:v>
                </c:pt>
                <c:pt idx="2">
                  <c:v>0.669</c:v>
                </c:pt>
                <c:pt idx="3">
                  <c:v>-0.524854839244832</c:v>
                </c:pt>
                <c:pt idx="4">
                  <c:v>0.40527499231865</c:v>
                </c:pt>
              </c:numCache>
            </c:numRef>
          </c:val>
          <c:smooth val="false"/>
        </c:ser>
        <c:ser>
          <c:idx val="3"/>
          <c:order val="3"/>
          <c:tx>
            <c:strRef>
              <c:f>[工作簿1]Sheet5!$G$3</c:f>
              <c:strCache>
                <c:ptCount val="1"/>
                <c:pt idx="0">
                  <c:v>完成营业额同比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dLbl>
              <c:idx val="2"/>
              <c:layout>
                <c:manualLayout>
                  <c:x val="-0.00208333333333333"/>
                  <c:y val="0.125"/>
                </c:manualLayout>
              </c:layout>
              <c:dLblPos val="t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t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true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[工作簿1]Sheet5!$C$4:$C$8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[工作簿1]Sheet5!$G$4:$G$8</c:f>
              <c:numCache>
                <c:formatCode>0.0%</c:formatCode>
                <c:ptCount val="5"/>
                <c:pt idx="0">
                  <c:v>0.262985379551734</c:v>
                </c:pt>
                <c:pt idx="1">
                  <c:v>0.870724476202287</c:v>
                </c:pt>
                <c:pt idx="2">
                  <c:v>0.238</c:v>
                </c:pt>
                <c:pt idx="3">
                  <c:v>-0.00651070261035269</c:v>
                </c:pt>
                <c:pt idx="4">
                  <c:v>-0.403267778912577</c:v>
                </c:pt>
              </c:numCache>
            </c:numRef>
          </c:val>
          <c:smooth val="false"/>
        </c:ser>
        <c:dLbls>
          <c:showLegendKey val="false"/>
          <c:showVal val="true"/>
          <c:showCatName val="false"/>
          <c:showSerName val="false"/>
          <c:showPercent val="false"/>
          <c:showBubbleSize val="false"/>
        </c:dLbls>
        <c:marker val="true"/>
        <c:smooth val="false"/>
        <c:axId val="200771740"/>
        <c:axId val="342686010"/>
      </c:lineChart>
      <c:catAx>
        <c:axId val="64725153"/>
        <c:scaling>
          <c:orientation val="minMax"/>
        </c:scaling>
        <c:delete val="false"/>
        <c:axPos val="b"/>
        <c:numFmt formatCode="General" sourceLinked="false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2139612"/>
        <c:crosses val="autoZero"/>
        <c:auto val="true"/>
        <c:lblAlgn val="ctr"/>
        <c:lblOffset val="100"/>
        <c:noMultiLvlLbl val="false"/>
      </c:catAx>
      <c:valAx>
        <c:axId val="42139612"/>
        <c:scaling>
          <c:orientation val="minMax"/>
        </c:scaling>
        <c:delete val="false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0" vertOverflow="ellipsis" vert="eaVert" wrap="square" anchor="ctr" anchorCtr="true"/>
              <a:lstStyle/>
              <a:p>
                <a:pPr defTabSz="914400"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>
                    <a:solidFill>
                      <a:sysClr val="windowText" lastClr="000000"/>
                    </a:solidFill>
                  </a:rPr>
                  <a:t>单位：亿美元</a:t>
                </a:r>
                <a:endParaRPr lang="zh-CN" altLang="en-US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0166797433238995"/>
              <c:y val="0.349235928842228"/>
            </c:manualLayout>
          </c:layout>
          <c:overlay val="false"/>
          <c:spPr>
            <a:noFill/>
            <a:ln>
              <a:noFill/>
            </a:ln>
            <a:effectLst/>
          </c:spPr>
        </c:title>
        <c:numFmt formatCode="0_);[Red]\(0\)" sourceLinked="false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64725153"/>
        <c:crosses val="autoZero"/>
        <c:crossBetween val="between"/>
      </c:valAx>
      <c:catAx>
        <c:axId val="200771740"/>
        <c:scaling>
          <c:orientation val="minMax"/>
        </c:scaling>
        <c:delete val="true"/>
        <c:axPos val="b"/>
        <c:numFmt formatCode="General" sourceLinked="true"/>
        <c:majorTickMark val="out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42686010"/>
        <c:crosses val="autoZero"/>
        <c:auto val="true"/>
        <c:lblAlgn val="ctr"/>
        <c:lblOffset val="100"/>
        <c:noMultiLvlLbl val="false"/>
      </c:catAx>
      <c:valAx>
        <c:axId val="342686010"/>
        <c:scaling>
          <c:orientation val="minMax"/>
        </c:scaling>
        <c:delete val="false"/>
        <c:axPos val="r"/>
        <c:numFmt formatCode="0%" sourceLinked="false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200771740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false"/>
      <c:spPr>
        <a:noFill/>
        <a:ln>
          <a:noFill/>
        </a:ln>
        <a:effectLst/>
      </c:spPr>
      <c:txPr>
        <a:bodyPr rot="0" spcFirstLastPara="0" vertOverflow="ellipsis" vert="horz" wrap="square" anchor="ctr" anchorCtr="true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+mn-ea"/>
              <a:ea typeface="+mn-ea"/>
              <a:cs typeface="Times New Roman" panose="02020603050405020304" charset="0"/>
            </a:defRPr>
          </a:pPr>
        </a:p>
      </c:txPr>
    </c:legend>
    <c:plotVisOnly val="true"/>
    <c:dispBlanksAs val="gap"/>
    <c:showDLblsOverMax val="false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false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true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true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true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2113</Words>
  <Characters>2346</Characters>
  <Lines>138</Lines>
  <Paragraphs>159</Paragraphs>
  <TotalTime>1049</TotalTime>
  <ScaleCrop>false</ScaleCrop>
  <LinksUpToDate>false</LinksUpToDate>
  <CharactersWithSpaces>4300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2026-08-12T10:11:00Z</dcterms:created>
  <dc:creator>PC</dc:creator>
  <cp:lastModifiedBy>wuyue</cp:lastModifiedBy>
  <dcterms:modified xsi:type="dcterms:W3CDTF">2026-09-02T17:50:19Z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