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黑体_GBK" w:hAnsi="方正黑体_GBK" w:eastAsia="方正黑体_GBK" w:cs="方正黑体_GBK"/>
          <w:color w:val="000000"/>
          <w:sz w:val="44"/>
          <w:szCs w:val="44"/>
        </w:rPr>
      </w:pPr>
      <w:bookmarkStart w:id="23" w:name="_GoBack"/>
      <w:bookmarkEnd w:id="23"/>
      <w:r>
        <w:rPr>
          <w:rFonts w:hint="eastAsia" w:ascii="方正黑体_GBK" w:hAnsi="方正黑体_GBK" w:eastAsia="方正黑体_GBK" w:cs="方正黑体_GBK"/>
          <w:color w:val="000000"/>
          <w:sz w:val="44"/>
          <w:szCs w:val="44"/>
        </w:rPr>
        <w:t>江苏省商务领域行政处罚裁量权</w:t>
      </w:r>
    </w:p>
    <w:p>
      <w:pPr>
        <w:spacing w:line="560" w:lineRule="exact"/>
        <w:jc w:val="center"/>
        <w:rPr>
          <w:rFonts w:hint="eastAsia" w:ascii="方正黑体_GBK" w:hAnsi="方正黑体_GBK" w:eastAsia="方正黑体_GBK" w:cs="方正黑体_GBK"/>
          <w:color w:val="000000"/>
          <w:sz w:val="44"/>
          <w:szCs w:val="44"/>
        </w:rPr>
      </w:pPr>
      <w:r>
        <w:rPr>
          <w:rFonts w:hint="eastAsia" w:ascii="方正黑体_GBK" w:hAnsi="方正黑体_GBK" w:eastAsia="方正黑体_GBK" w:cs="方正黑体_GBK"/>
          <w:color w:val="000000"/>
          <w:sz w:val="44"/>
          <w:szCs w:val="44"/>
        </w:rPr>
        <w:t>基准</w:t>
      </w:r>
      <w:r>
        <w:rPr>
          <w:rFonts w:hint="eastAsia" w:ascii="方正黑体_GBK" w:hAnsi="方正黑体_GBK" w:eastAsia="方正黑体_GBK" w:cs="方正黑体_GBK"/>
          <w:color w:val="000000"/>
          <w:sz w:val="44"/>
          <w:szCs w:val="44"/>
          <w:lang w:eastAsia="zh-CN"/>
        </w:rPr>
        <w:t>适用规定（征求意见稿）</w:t>
      </w:r>
    </w:p>
    <w:p>
      <w:pPr>
        <w:spacing w:line="560" w:lineRule="exact"/>
        <w:jc w:val="center"/>
        <w:rPr>
          <w:rFonts w:hint="eastAsia" w:ascii="仿宋_GB2312" w:hAnsi="仿宋_GB2312" w:eastAsia="仿宋_GB2312" w:cs="仿宋_GB2312"/>
          <w:color w:val="000000"/>
          <w:sz w:val="32"/>
          <w:szCs w:val="32"/>
        </w:rPr>
      </w:pPr>
    </w:p>
    <w:p>
      <w:pPr>
        <w:spacing w:line="560" w:lineRule="exact"/>
        <w:ind w:firstLine="642"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 xml:space="preserve">第一条 </w:t>
      </w:r>
      <w:r>
        <w:rPr>
          <w:rFonts w:hint="eastAsia" w:ascii="仿宋_GB2312" w:hAnsi="仿宋_GB2312" w:eastAsia="仿宋_GB2312" w:cs="仿宋_GB2312"/>
          <w:color w:val="000000"/>
          <w:sz w:val="32"/>
          <w:szCs w:val="32"/>
        </w:rPr>
        <w:t>【立法目的和依据】为规范我省商务行政处罚行为，依法正确行使行政处罚裁量权，根据《中华人民共和国行政处罚法》等法律、法规</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规章</w:t>
      </w:r>
      <w:r>
        <w:rPr>
          <w:rFonts w:hint="eastAsia" w:ascii="仿宋_GB2312" w:hAnsi="仿宋_GB2312" w:eastAsia="仿宋_GB2312" w:cs="仿宋_GB2312"/>
          <w:color w:val="000000"/>
          <w:sz w:val="32"/>
          <w:szCs w:val="32"/>
          <w:lang w:val="en-US" w:eastAsia="zh-CN"/>
        </w:rPr>
        <w:t>及《国务院办公厅关于进一步规范行政裁量权基准制定和管理工作的意见》（国办发〔</w:t>
      </w:r>
      <w:r>
        <w:rPr>
          <w:rFonts w:hint="default" w:ascii="Times New Roman" w:hAnsi="Times New Roman" w:eastAsia="仿宋_GB2312" w:cs="Times New Roman"/>
          <w:color w:val="000000"/>
          <w:sz w:val="32"/>
          <w:szCs w:val="32"/>
          <w:lang w:val="en-US" w:eastAsia="zh-CN"/>
        </w:rPr>
        <w:t>2022</w:t>
      </w:r>
      <w:r>
        <w:rPr>
          <w:rFonts w:hint="eastAsia" w:ascii="仿宋_GB2312" w:hAnsi="仿宋_GB2312" w:eastAsia="仿宋_GB2312" w:cs="仿宋_GB2312"/>
          <w:color w:val="000000"/>
          <w:sz w:val="32"/>
          <w:szCs w:val="32"/>
          <w:lang w:val="en-US" w:eastAsia="zh-CN"/>
        </w:rPr>
        <w:t>〕</w:t>
      </w:r>
      <w:r>
        <w:rPr>
          <w:rFonts w:hint="default" w:ascii="Times New Roman" w:hAnsi="Times New Roman" w:eastAsia="仿宋_GB2312" w:cs="Times New Roman"/>
          <w:color w:val="000000"/>
          <w:sz w:val="32"/>
          <w:szCs w:val="32"/>
          <w:lang w:val="en-US" w:eastAsia="zh-CN"/>
        </w:rPr>
        <w:t>27</w:t>
      </w:r>
      <w:r>
        <w:rPr>
          <w:rFonts w:hint="eastAsia" w:ascii="仿宋_GB2312" w:hAnsi="仿宋_GB2312" w:eastAsia="仿宋_GB2312" w:cs="仿宋_GB2312"/>
          <w:color w:val="000000"/>
          <w:sz w:val="32"/>
          <w:szCs w:val="32"/>
          <w:lang w:val="en-US" w:eastAsia="zh-CN"/>
        </w:rPr>
        <w:t>号）等</w:t>
      </w:r>
      <w:r>
        <w:rPr>
          <w:rFonts w:hint="eastAsia" w:ascii="仿宋_GB2312" w:hAnsi="仿宋_GB2312" w:eastAsia="仿宋_GB2312" w:cs="仿宋_GB2312"/>
          <w:color w:val="000000"/>
          <w:sz w:val="32"/>
          <w:szCs w:val="32"/>
        </w:rPr>
        <w:t>有关规定，结合本省商务工作实际，制定本</w:t>
      </w:r>
      <w:r>
        <w:rPr>
          <w:rFonts w:hint="eastAsia" w:ascii="仿宋_GB2312" w:hAnsi="仿宋_GB2312" w:eastAsia="仿宋_GB2312" w:cs="仿宋_GB2312"/>
          <w:color w:val="000000"/>
          <w:sz w:val="32"/>
          <w:szCs w:val="32"/>
          <w:lang w:eastAsia="zh-CN"/>
        </w:rPr>
        <w:t>规定</w:t>
      </w:r>
      <w:r>
        <w:rPr>
          <w:rFonts w:hint="eastAsia" w:ascii="仿宋_GB2312" w:hAnsi="仿宋_GB2312" w:eastAsia="仿宋_GB2312" w:cs="仿宋_GB2312"/>
          <w:color w:val="000000"/>
          <w:sz w:val="32"/>
          <w:szCs w:val="32"/>
        </w:rPr>
        <w:t>。</w:t>
      </w:r>
    </w:p>
    <w:p>
      <w:pPr>
        <w:spacing w:line="560" w:lineRule="exact"/>
        <w:ind w:firstLine="642"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第二条</w:t>
      </w:r>
      <w:r>
        <w:rPr>
          <w:rFonts w:hint="eastAsia" w:ascii="仿宋_GB2312" w:hAnsi="仿宋_GB2312" w:eastAsia="仿宋_GB2312" w:cs="仿宋_GB2312"/>
          <w:color w:val="000000"/>
          <w:sz w:val="32"/>
          <w:szCs w:val="32"/>
        </w:rPr>
        <w:t xml:space="preserve"> 【适用范围】我省各级商务主管部门和其他具备商务领域行政执法权力的部门（以下统称商务执法部门），行使商务领域行政处罚裁量权时，适用本</w:t>
      </w:r>
      <w:r>
        <w:rPr>
          <w:rFonts w:hint="eastAsia" w:ascii="仿宋_GB2312" w:hAnsi="仿宋_GB2312" w:eastAsia="仿宋_GB2312" w:cs="仿宋_GB2312"/>
          <w:color w:val="000000"/>
          <w:sz w:val="32"/>
          <w:szCs w:val="32"/>
          <w:lang w:eastAsia="zh-CN"/>
        </w:rPr>
        <w:t>规定</w:t>
      </w:r>
      <w:r>
        <w:rPr>
          <w:rFonts w:hint="eastAsia" w:ascii="仿宋_GB2312" w:hAnsi="仿宋_GB2312" w:eastAsia="仿宋_GB2312" w:cs="仿宋_GB2312"/>
          <w:color w:val="000000"/>
          <w:sz w:val="32"/>
          <w:szCs w:val="32"/>
        </w:rPr>
        <w:t>。</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法律、法规、规章另有规定的，从其规定。</w:t>
      </w:r>
    </w:p>
    <w:p>
      <w:pPr>
        <w:spacing w:line="560" w:lineRule="exact"/>
        <w:ind w:firstLine="642"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第三条</w:t>
      </w:r>
      <w:r>
        <w:rPr>
          <w:rFonts w:hint="eastAsia" w:ascii="仿宋_GB2312" w:hAnsi="仿宋_GB2312" w:eastAsia="仿宋_GB2312" w:cs="仿宋_GB2312"/>
          <w:color w:val="000000"/>
          <w:sz w:val="32"/>
          <w:szCs w:val="32"/>
        </w:rPr>
        <w:t xml:space="preserve"> 【定义】本</w:t>
      </w:r>
      <w:r>
        <w:rPr>
          <w:rFonts w:hint="eastAsia" w:ascii="仿宋_GB2312" w:hAnsi="仿宋_GB2312" w:eastAsia="仿宋_GB2312" w:cs="仿宋_GB2312"/>
          <w:color w:val="000000"/>
          <w:sz w:val="32"/>
          <w:szCs w:val="32"/>
          <w:lang w:eastAsia="zh-CN"/>
        </w:rPr>
        <w:t>规定</w:t>
      </w:r>
      <w:r>
        <w:rPr>
          <w:rFonts w:hint="eastAsia" w:ascii="仿宋_GB2312" w:hAnsi="仿宋_GB2312" w:eastAsia="仿宋_GB2312" w:cs="仿宋_GB2312"/>
          <w:color w:val="000000"/>
          <w:sz w:val="32"/>
          <w:szCs w:val="32"/>
        </w:rPr>
        <w:t>所称行政处罚裁量权，是指</w:t>
      </w:r>
      <w:bookmarkStart w:id="0" w:name="_Hlk139017694"/>
      <w:r>
        <w:rPr>
          <w:rFonts w:hint="eastAsia" w:ascii="仿宋_GB2312" w:hAnsi="仿宋_GB2312" w:eastAsia="仿宋_GB2312" w:cs="仿宋_GB2312"/>
          <w:color w:val="000000"/>
          <w:sz w:val="32"/>
          <w:szCs w:val="32"/>
        </w:rPr>
        <w:t>我省商务执法部门</w:t>
      </w:r>
      <w:bookmarkEnd w:id="0"/>
      <w:r>
        <w:rPr>
          <w:rFonts w:hint="eastAsia" w:ascii="仿宋_GB2312" w:hAnsi="仿宋_GB2312" w:eastAsia="仿宋_GB2312" w:cs="仿宋_GB2312"/>
          <w:color w:val="000000"/>
          <w:sz w:val="32"/>
          <w:szCs w:val="32"/>
        </w:rPr>
        <w:t>在实施行政处罚时，根据法律、法规、规章的规定，综合考虑违法行为的事实、性质、情节、社会危害程度以及当事人主观过错等因素，决定是否给予行政处罚、给予行政处罚的种类和幅度的权限。</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本</w:t>
      </w:r>
      <w:r>
        <w:rPr>
          <w:rFonts w:hint="eastAsia" w:ascii="仿宋_GB2312" w:hAnsi="仿宋_GB2312" w:eastAsia="仿宋_GB2312" w:cs="仿宋_GB2312"/>
          <w:color w:val="000000"/>
          <w:sz w:val="32"/>
          <w:szCs w:val="32"/>
          <w:lang w:eastAsia="zh-CN"/>
        </w:rPr>
        <w:t>规定</w:t>
      </w:r>
      <w:r>
        <w:rPr>
          <w:rFonts w:hint="eastAsia" w:ascii="仿宋_GB2312" w:hAnsi="仿宋_GB2312" w:eastAsia="仿宋_GB2312" w:cs="仿宋_GB2312"/>
          <w:color w:val="000000"/>
          <w:sz w:val="32"/>
          <w:szCs w:val="32"/>
        </w:rPr>
        <w:t>所称</w:t>
      </w:r>
      <w:bookmarkStart w:id="1" w:name="_Hlk139117975"/>
      <w:r>
        <w:rPr>
          <w:rFonts w:hint="eastAsia" w:ascii="仿宋_GB2312" w:hAnsi="仿宋_GB2312" w:eastAsia="仿宋_GB2312" w:cs="仿宋_GB2312"/>
          <w:color w:val="000000"/>
          <w:sz w:val="32"/>
          <w:szCs w:val="32"/>
        </w:rPr>
        <w:t>行政处罚裁量权基准</w:t>
      </w:r>
      <w:bookmarkEnd w:id="1"/>
      <w:r>
        <w:rPr>
          <w:rFonts w:hint="eastAsia" w:ascii="仿宋_GB2312" w:hAnsi="仿宋_GB2312" w:eastAsia="仿宋_GB2312" w:cs="仿宋_GB2312"/>
          <w:color w:val="000000"/>
          <w:sz w:val="32"/>
          <w:szCs w:val="32"/>
        </w:rPr>
        <w:t>，</w:t>
      </w:r>
      <w:bookmarkStart w:id="2" w:name="_Hlk139052209"/>
      <w:r>
        <w:rPr>
          <w:rFonts w:hint="eastAsia" w:ascii="仿宋_GB2312" w:hAnsi="仿宋_GB2312" w:eastAsia="仿宋_GB2312" w:cs="仿宋_GB2312"/>
          <w:color w:val="000000"/>
          <w:sz w:val="32"/>
          <w:szCs w:val="32"/>
        </w:rPr>
        <w:t>是</w:t>
      </w:r>
      <w:bookmarkEnd w:id="2"/>
      <w:r>
        <w:rPr>
          <w:rFonts w:hint="eastAsia" w:ascii="仿宋_GB2312" w:hAnsi="仿宋_GB2312" w:eastAsia="仿宋_GB2312" w:cs="仿宋_GB2312"/>
          <w:color w:val="000000"/>
          <w:sz w:val="32"/>
          <w:szCs w:val="32"/>
        </w:rPr>
        <w:t>指省、</w:t>
      </w:r>
      <w:bookmarkStart w:id="3" w:name="_Hlk139055561"/>
      <w:bookmarkStart w:id="4" w:name="_Hlk139054960"/>
      <w:r>
        <w:rPr>
          <w:rFonts w:hint="eastAsia" w:ascii="仿宋_GB2312" w:hAnsi="仿宋_GB2312" w:eastAsia="仿宋_GB2312" w:cs="仿宋_GB2312"/>
          <w:color w:val="000000"/>
          <w:sz w:val="32"/>
          <w:szCs w:val="32"/>
        </w:rPr>
        <w:t>设区的市商务主管部门</w:t>
      </w:r>
      <w:bookmarkEnd w:id="3"/>
      <w:r>
        <w:rPr>
          <w:rFonts w:hint="eastAsia" w:ascii="仿宋_GB2312" w:hAnsi="仿宋_GB2312" w:eastAsia="仿宋_GB2312" w:cs="仿宋_GB2312"/>
          <w:color w:val="000000"/>
          <w:sz w:val="32"/>
          <w:szCs w:val="32"/>
        </w:rPr>
        <w:t>结合本地区商务工作实际，</w:t>
      </w:r>
      <w:bookmarkEnd w:id="4"/>
      <w:r>
        <w:rPr>
          <w:rFonts w:hint="eastAsia" w:ascii="仿宋_GB2312" w:hAnsi="仿宋_GB2312" w:eastAsia="仿宋_GB2312" w:cs="仿宋_GB2312"/>
          <w:color w:val="000000"/>
          <w:sz w:val="32"/>
          <w:szCs w:val="32"/>
        </w:rPr>
        <w:t>对法律、法规、规章设定的商务领域行政处罚事项中的原则性规定，或者具有一定弹性的处罚权限、裁量幅度等内容进行合理细化量化，并向社会公布施行的具体执法尺度和标准。</w:t>
      </w:r>
    </w:p>
    <w:p>
      <w:pPr>
        <w:spacing w:line="560" w:lineRule="exact"/>
        <w:ind w:firstLine="642"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第四条</w:t>
      </w:r>
      <w:r>
        <w:rPr>
          <w:rFonts w:hint="eastAsia" w:ascii="仿宋_GB2312" w:hAnsi="仿宋_GB2312" w:eastAsia="仿宋_GB2312" w:cs="仿宋_GB2312"/>
          <w:color w:val="000000"/>
          <w:sz w:val="32"/>
          <w:szCs w:val="32"/>
        </w:rPr>
        <w:t xml:space="preserve"> 【原则】行使行政处罚裁量权，应当以事实为依据，以法律为准绳，遵循处罚法定、公平合理、程序公正、处罚与教育相结合和综合裁量原则。</w:t>
      </w:r>
    </w:p>
    <w:p>
      <w:pPr>
        <w:spacing w:line="560" w:lineRule="exact"/>
        <w:ind w:firstLine="642"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第五条</w:t>
      </w:r>
      <w:r>
        <w:rPr>
          <w:rFonts w:hint="eastAsia" w:ascii="仿宋_GB2312" w:hAnsi="仿宋_GB2312" w:eastAsia="仿宋_GB2312" w:cs="仿宋_GB2312"/>
          <w:color w:val="000000"/>
          <w:sz w:val="32"/>
          <w:szCs w:val="32"/>
        </w:rPr>
        <w:t>【裁量因素】商务执法部门对商务领域行政违法行为作出行政处罚裁量时，应当根据不同违法行为的特点，</w:t>
      </w:r>
      <w:bookmarkStart w:id="5" w:name="_Hlk142232316"/>
      <w:r>
        <w:rPr>
          <w:rFonts w:hint="eastAsia" w:ascii="仿宋_GB2312" w:hAnsi="仿宋_GB2312" w:eastAsia="仿宋_GB2312" w:cs="仿宋_GB2312"/>
          <w:color w:val="000000"/>
          <w:sz w:val="32"/>
          <w:szCs w:val="32"/>
        </w:rPr>
        <w:t>综合</w:t>
      </w:r>
      <w:bookmarkEnd w:id="5"/>
      <w:r>
        <w:rPr>
          <w:rFonts w:hint="eastAsia" w:ascii="仿宋_GB2312" w:hAnsi="仿宋_GB2312" w:eastAsia="仿宋_GB2312" w:cs="仿宋_GB2312"/>
          <w:color w:val="000000"/>
          <w:sz w:val="32"/>
          <w:szCs w:val="32"/>
        </w:rPr>
        <w:t>考虑以下因素：</w:t>
      </w:r>
    </w:p>
    <w:p>
      <w:pPr>
        <w:pStyle w:val="18"/>
        <w:numPr>
          <w:ilvl w:val="0"/>
          <w:numId w:val="1"/>
        </w:numPr>
        <w:ind w:firstLineChars="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违法行为危害的具体对象；</w:t>
      </w:r>
    </w:p>
    <w:p>
      <w:pPr>
        <w:pStyle w:val="18"/>
        <w:numPr>
          <w:ilvl w:val="0"/>
          <w:numId w:val="1"/>
        </w:numPr>
        <w:ind w:firstLineChars="0"/>
        <w:rPr>
          <w:rFonts w:hint="eastAsia" w:ascii="仿宋_GB2312" w:hAnsi="仿宋_GB2312" w:eastAsia="仿宋_GB2312" w:cs="仿宋_GB2312"/>
          <w:color w:val="FF0000"/>
          <w:sz w:val="32"/>
          <w:szCs w:val="32"/>
        </w:rPr>
      </w:pPr>
      <w:r>
        <w:rPr>
          <w:rFonts w:hint="eastAsia" w:ascii="仿宋_GB2312" w:hAnsi="仿宋_GB2312" w:eastAsia="仿宋_GB2312" w:cs="仿宋_GB2312"/>
          <w:color w:val="000000"/>
          <w:sz w:val="32"/>
          <w:szCs w:val="32"/>
        </w:rPr>
        <w:t>实施违法行为的方法、手段；</w:t>
      </w:r>
    </w:p>
    <w:p>
      <w:pPr>
        <w:pStyle w:val="18"/>
        <w:numPr>
          <w:ilvl w:val="0"/>
          <w:numId w:val="1"/>
        </w:numPr>
        <w:ind w:firstLineChars="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违法行为的规模或涉及的区域范围；</w:t>
      </w:r>
    </w:p>
    <w:p>
      <w:pPr>
        <w:pStyle w:val="18"/>
        <w:numPr>
          <w:ilvl w:val="0"/>
          <w:numId w:val="1"/>
        </w:numPr>
        <w:ind w:firstLineChars="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违法行为造成的人身伤亡、财产损失情况，涉及的财物价值，违法得利情况；</w:t>
      </w:r>
    </w:p>
    <w:p>
      <w:pPr>
        <w:pStyle w:val="18"/>
        <w:numPr>
          <w:ilvl w:val="0"/>
          <w:numId w:val="1"/>
        </w:numPr>
        <w:ind w:firstLineChars="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违法行为的持续时间</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次数；</w:t>
      </w:r>
    </w:p>
    <w:p>
      <w:pPr>
        <w:pStyle w:val="18"/>
        <w:numPr>
          <w:ilvl w:val="0"/>
          <w:numId w:val="1"/>
        </w:numPr>
        <w:ind w:firstLineChars="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违法行为的社会不良影响程度；</w:t>
      </w:r>
    </w:p>
    <w:p>
      <w:pPr>
        <w:pStyle w:val="18"/>
        <w:numPr>
          <w:ilvl w:val="0"/>
          <w:numId w:val="1"/>
        </w:numPr>
        <w:ind w:firstLineChars="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当事人的主观过错；</w:t>
      </w:r>
    </w:p>
    <w:p>
      <w:pPr>
        <w:pStyle w:val="18"/>
        <w:numPr>
          <w:ilvl w:val="0"/>
          <w:numId w:val="1"/>
        </w:numPr>
        <w:ind w:firstLineChars="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当事人在共同实施违法行为中的地位、作用；</w:t>
      </w:r>
    </w:p>
    <w:p>
      <w:pPr>
        <w:pStyle w:val="18"/>
        <w:numPr>
          <w:ilvl w:val="0"/>
          <w:numId w:val="1"/>
        </w:numPr>
        <w:ind w:firstLineChars="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当事人配合调查处理、改正违法行为、消除危害后果的情况；</w:t>
      </w:r>
    </w:p>
    <w:p>
      <w:pPr>
        <w:pStyle w:val="18"/>
        <w:spacing w:line="560" w:lineRule="exact"/>
        <w:ind w:firstLine="64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（十）其他因素。</w:t>
      </w:r>
    </w:p>
    <w:p>
      <w:pPr>
        <w:spacing w:line="560" w:lineRule="exact"/>
        <w:ind w:firstLine="642"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第六条</w:t>
      </w:r>
      <w:r>
        <w:rPr>
          <w:rFonts w:hint="eastAsia" w:ascii="仿宋_GB2312" w:hAnsi="仿宋_GB2312" w:eastAsia="仿宋_GB2312" w:cs="仿宋_GB2312"/>
          <w:color w:val="000000"/>
          <w:sz w:val="32"/>
          <w:szCs w:val="32"/>
        </w:rPr>
        <w:t xml:space="preserve"> 【裁量阶次】</w:t>
      </w:r>
      <w:bookmarkStart w:id="6" w:name="_Hlk139118184"/>
      <w:r>
        <w:rPr>
          <w:rFonts w:hint="eastAsia" w:ascii="仿宋_GB2312" w:hAnsi="仿宋_GB2312" w:eastAsia="仿宋_GB2312" w:cs="仿宋_GB2312"/>
          <w:color w:val="000000"/>
          <w:sz w:val="32"/>
          <w:szCs w:val="32"/>
        </w:rPr>
        <w:t>商务领域行政处罚裁量</w:t>
      </w:r>
      <w:bookmarkEnd w:id="6"/>
      <w:r>
        <w:rPr>
          <w:rFonts w:hint="eastAsia" w:ascii="仿宋_GB2312" w:hAnsi="仿宋_GB2312" w:eastAsia="仿宋_GB2312" w:cs="仿宋_GB2312"/>
          <w:color w:val="000000"/>
          <w:sz w:val="32"/>
          <w:szCs w:val="32"/>
        </w:rPr>
        <w:t>分为不予处罚、减轻处罚、从轻处罚、一般处罚、从重处罚五个阶次。</w:t>
      </w:r>
    </w:p>
    <w:p>
      <w:pPr>
        <w:pStyle w:val="7"/>
        <w:widowControl/>
        <w:spacing w:line="560" w:lineRule="atLeast"/>
        <w:ind w:firstLine="64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不予行政处罚是指因法定原因对特定违法行为不给予行政处罚。</w:t>
      </w:r>
    </w:p>
    <w:p>
      <w:pPr>
        <w:pStyle w:val="7"/>
        <w:widowControl/>
        <w:spacing w:line="560" w:lineRule="atLeast"/>
        <w:ind w:firstLine="64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减轻行政处罚是指适用法定行政处罚最低限度以下</w:t>
      </w:r>
      <w:bookmarkStart w:id="7" w:name="_Hlk142246769"/>
      <w:r>
        <w:rPr>
          <w:rFonts w:hint="eastAsia" w:ascii="仿宋_GB2312" w:hAnsi="仿宋_GB2312" w:eastAsia="仿宋_GB2312" w:cs="仿宋_GB2312"/>
          <w:color w:val="000000"/>
          <w:sz w:val="32"/>
          <w:szCs w:val="32"/>
        </w:rPr>
        <w:t>（不含本数）</w:t>
      </w:r>
      <w:bookmarkEnd w:id="7"/>
      <w:r>
        <w:rPr>
          <w:rFonts w:hint="eastAsia" w:ascii="仿宋_GB2312" w:hAnsi="仿宋_GB2312" w:eastAsia="仿宋_GB2312" w:cs="仿宋_GB2312"/>
          <w:color w:val="000000"/>
          <w:sz w:val="32"/>
          <w:szCs w:val="32"/>
        </w:rPr>
        <w:t>的处罚种类或处罚幅度。包括在违法行为应当受到的一种或者几种处罚种类之外选择更轻的处罚种类，或者在应当并处时不并处，也包括在法定最低罚款限值以下（不含本数）确定罚款数额。</w:t>
      </w:r>
    </w:p>
    <w:p>
      <w:pPr>
        <w:pStyle w:val="7"/>
        <w:widowControl/>
        <w:spacing w:line="560" w:lineRule="atLeast"/>
        <w:ind w:firstLine="64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从轻行政处罚是指在依法可以选择的处罚种类和处罚幅度内，适用较轻、较少的处罚种类或者较低的处罚幅度。</w:t>
      </w:r>
    </w:p>
    <w:p>
      <w:pPr>
        <w:pStyle w:val="7"/>
        <w:widowControl/>
        <w:spacing w:line="560" w:lineRule="atLeast"/>
        <w:ind w:firstLine="64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一般行政处罚是指在依法可选择的处罚种类和处罚幅度内，适用适中的处罚种类或者处罚幅度。</w:t>
      </w:r>
    </w:p>
    <w:p>
      <w:pPr>
        <w:pStyle w:val="7"/>
        <w:widowControl/>
        <w:spacing w:line="560" w:lineRule="atLeast"/>
        <w:ind w:firstLine="64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从重行政处罚是指在依法可以选择的处罚种类和处罚幅度内，适用较重、较多的处罚种类或者较高的处罚幅度。</w:t>
      </w:r>
    </w:p>
    <w:p>
      <w:pPr>
        <w:pStyle w:val="7"/>
        <w:widowControl/>
        <w:spacing w:line="560" w:lineRule="atLeast"/>
        <w:ind w:firstLine="64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法律、法规、规章中的处罚事项不适宜细化量化的，不再划分裁量阶次。</w:t>
      </w:r>
    </w:p>
    <w:p>
      <w:pPr>
        <w:spacing w:line="560" w:lineRule="exact"/>
        <w:ind w:firstLine="642"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第七条</w:t>
      </w:r>
      <w:r>
        <w:rPr>
          <w:rFonts w:hint="eastAsia" w:ascii="仿宋_GB2312" w:hAnsi="仿宋_GB2312" w:eastAsia="仿宋_GB2312" w:cs="仿宋_GB2312"/>
          <w:color w:val="000000"/>
          <w:sz w:val="32"/>
          <w:szCs w:val="32"/>
        </w:rPr>
        <w:t xml:space="preserve"> 【应当不予处罚】当事人有下列情形之一的，应当不予行政处罚：</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（一）不满十四周岁的未成年人有违法行为的；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（二）精神病人、智力残疾人在不能辨认或者不能控制自己行为时有违法行为的；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（三）违法行为轻微并及时改正，没有造成危害后果的；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（四）除法律、行政法规另有规定外，当事人有证据足以证明没有主观过错的；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（五）除法律另有规定外，违法行为在二年内未被发现的（涉及公民生命健康安全、金融安全且有危害后果的，上述期限延长至五年）；</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（六）法律法规规定的其他应当不予行政处罚的情形。</w:t>
      </w:r>
    </w:p>
    <w:p>
      <w:pPr>
        <w:spacing w:line="560" w:lineRule="exact"/>
        <w:ind w:firstLine="642"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第八条</w:t>
      </w:r>
      <w:r>
        <w:rPr>
          <w:rFonts w:hint="eastAsia" w:ascii="仿宋_GB2312" w:hAnsi="仿宋_GB2312" w:eastAsia="仿宋_GB2312" w:cs="仿宋_GB2312"/>
          <w:color w:val="000000"/>
          <w:sz w:val="32"/>
          <w:szCs w:val="32"/>
        </w:rPr>
        <w:t xml:space="preserve"> 【可以不予处罚】当事人初次违法且危害后果轻微并及时改正的，可以不予行政处罚。</w:t>
      </w:r>
    </w:p>
    <w:p>
      <w:pPr>
        <w:spacing w:line="560" w:lineRule="exact"/>
        <w:ind w:firstLine="642"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第九条</w:t>
      </w:r>
      <w:r>
        <w:rPr>
          <w:rFonts w:hint="eastAsia" w:ascii="仿宋_GB2312" w:hAnsi="仿宋_GB2312" w:eastAsia="仿宋_GB2312" w:cs="仿宋_GB2312"/>
          <w:color w:val="000000"/>
          <w:sz w:val="32"/>
          <w:szCs w:val="32"/>
        </w:rPr>
        <w:t>【不予处罚的应进行教育】对当事人的违法行为依法不予行政处罚的，商务执法部门应当对当事人进行教育。</w:t>
      </w:r>
    </w:p>
    <w:p>
      <w:pPr>
        <w:spacing w:line="560" w:lineRule="exact"/>
        <w:ind w:firstLine="642"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 xml:space="preserve">第十条 </w:t>
      </w:r>
      <w:r>
        <w:rPr>
          <w:rFonts w:hint="eastAsia" w:ascii="仿宋_GB2312" w:hAnsi="仿宋_GB2312" w:eastAsia="仿宋_GB2312" w:cs="仿宋_GB2312"/>
          <w:color w:val="000000"/>
          <w:sz w:val="32"/>
          <w:szCs w:val="32"/>
        </w:rPr>
        <w:t>【应当从轻或者减轻行政处罚】当事人有下列情形之一的，应当从轻或者减轻行政处罚：</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（一）已满十四周岁不满十八周岁的未成年人有违法行为的；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（二）主动消除或者减轻违法行为危害后果的；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（三）受他人胁迫或者诱骗实施违法行为的；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（四）主动供述商务执法部门尚未掌握的违法行为的；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（五）配合商务执法部门查处违法行为有立功表现的；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（六）其他依法应当从轻或者减轻行政处罚的。</w:t>
      </w:r>
    </w:p>
    <w:p>
      <w:pPr>
        <w:spacing w:line="560" w:lineRule="exact"/>
        <w:ind w:firstLine="642"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第十一条</w:t>
      </w:r>
      <w:r>
        <w:rPr>
          <w:rFonts w:hint="eastAsia" w:ascii="仿宋_GB2312" w:hAnsi="仿宋_GB2312" w:eastAsia="仿宋_GB2312" w:cs="仿宋_GB2312"/>
          <w:color w:val="000000"/>
          <w:sz w:val="32"/>
          <w:szCs w:val="32"/>
        </w:rPr>
        <w:t xml:space="preserve"> 【可以从轻或者减轻行政处罚】当事人有下列情形之一的，可以从轻或者减轻行政处罚：</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（一）尚未完全丧失辨认或者控制自己行为能力的精神病人、智力残疾人有违法行为的；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（二）积极配合调查并主动提供证据材料的；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（三）违法行为轻微，社会危害性较小的；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（四）在共同违法行为中起次要或者辅助作用的；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（五）当事人因残疾、重大疾病等原因生活确有困难的；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（六）其他依法可以从轻或者减轻行政处罚的。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违法行为已经造成严重后果的，原则上不适用从轻或者减轻行政处罚。</w:t>
      </w:r>
    </w:p>
    <w:p>
      <w:pPr>
        <w:spacing w:line="560" w:lineRule="exact"/>
        <w:ind w:firstLine="642"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第十二条</w:t>
      </w:r>
      <w:r>
        <w:rPr>
          <w:rFonts w:hint="eastAsia" w:ascii="仿宋_GB2312" w:hAnsi="仿宋_GB2312" w:eastAsia="仿宋_GB2312" w:cs="仿宋_GB2312"/>
          <w:color w:val="000000"/>
          <w:sz w:val="32"/>
          <w:szCs w:val="32"/>
        </w:rPr>
        <w:t xml:space="preserve"> 【应当从重处罚】当事人有下列情形之一的，应当依法从重行政处罚：</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（一）发生重大传染病疫情等突发事件，违反突发事件应对措施的；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（二）其他依法应当从重行政处罚的。</w:t>
      </w:r>
    </w:p>
    <w:p>
      <w:pPr>
        <w:spacing w:line="560" w:lineRule="exact"/>
        <w:ind w:firstLine="642"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第十三条</w:t>
      </w:r>
      <w:r>
        <w:rPr>
          <w:rFonts w:hint="eastAsia" w:ascii="仿宋_GB2312" w:hAnsi="仿宋_GB2312" w:eastAsia="仿宋_GB2312" w:cs="仿宋_GB2312"/>
          <w:color w:val="000000"/>
          <w:sz w:val="32"/>
          <w:szCs w:val="32"/>
        </w:rPr>
        <w:t xml:space="preserve"> 【可以从重处罚】当事人有下列情形之一的，可以依法从重行政处罚：</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（一）违法行为危及人民群众身体健康、生命安全等；</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（二）违法行为造成人身伤亡、重大财产损失等严重危害后果的；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（三）教唆、胁迫、诱骗他人实施违法行为的；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（四）因同一性质的违法行为受过刑事处罚，或者自商务执法部门作出行政处罚决定之日起一年内再次发生同一性质违法行为的；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（五）阻碍或者拒不配合商务行政执法人员依法执行职务的；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（六）对举报人、投诉人、证人及商务行政执法人员打击报复的；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（七）</w:t>
      </w:r>
      <w:bookmarkStart w:id="8" w:name="_Hlk142243366"/>
      <w:r>
        <w:rPr>
          <w:rFonts w:hint="eastAsia" w:ascii="仿宋_GB2312" w:hAnsi="仿宋_GB2312" w:eastAsia="仿宋_GB2312" w:cs="仿宋_GB2312"/>
          <w:color w:val="000000"/>
          <w:sz w:val="32"/>
          <w:szCs w:val="32"/>
        </w:rPr>
        <w:t>隐藏、转移、损毁、使用、处置</w:t>
      </w:r>
      <w:bookmarkEnd w:id="8"/>
      <w:r>
        <w:rPr>
          <w:rFonts w:hint="eastAsia" w:ascii="仿宋_GB2312" w:hAnsi="仿宋_GB2312" w:eastAsia="仿宋_GB2312" w:cs="仿宋_GB2312"/>
          <w:color w:val="000000"/>
          <w:sz w:val="32"/>
          <w:szCs w:val="32"/>
        </w:rPr>
        <w:t>商务执法部门依法查封、扣押的场所、设施、财物的；</w:t>
      </w:r>
    </w:p>
    <w:p>
      <w:pPr>
        <w:spacing w:line="560" w:lineRule="exact"/>
        <w:ind w:firstLine="640" w:firstLineChars="200"/>
        <w:rPr>
          <w:rFonts w:hint="eastAsia" w:ascii="仿宋_GB2312" w:hAnsi="仿宋_GB2312" w:eastAsia="仿宋_GB2312" w:cs="仿宋_GB2312"/>
        </w:rPr>
      </w:pPr>
      <w:r>
        <w:rPr>
          <w:rFonts w:hint="eastAsia" w:ascii="仿宋_GB2312" w:hAnsi="仿宋_GB2312" w:eastAsia="仿宋_GB2312" w:cs="仿宋_GB2312"/>
          <w:color w:val="000000"/>
          <w:sz w:val="32"/>
          <w:szCs w:val="32"/>
        </w:rPr>
        <w:t>（八）隐藏、转移、损毁、使用、处置商务执法部门先行登记保存的证据，或伪造、隐匿、毁灭其他证据的；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（九）其他依法可以从重行政处罚的。</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因存在前款第五项至第八项情形，当事人已被行政处罚的，商务执法部门不再因该情形从重行政处罚。</w:t>
      </w:r>
    </w:p>
    <w:p>
      <w:pPr>
        <w:spacing w:line="560" w:lineRule="exact"/>
        <w:ind w:firstLine="642"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 xml:space="preserve">第十四条 </w:t>
      </w:r>
      <w:r>
        <w:rPr>
          <w:rFonts w:hint="eastAsia" w:ascii="仿宋_GB2312" w:hAnsi="仿宋_GB2312" w:eastAsia="仿宋_GB2312" w:cs="仿宋_GB2312"/>
          <w:color w:val="000000"/>
          <w:sz w:val="32"/>
          <w:szCs w:val="32"/>
        </w:rPr>
        <w:t>【一般行政处罚】当事人不具备不予行政处罚、从轻或者减轻行政处罚、从重行政处罚情节的，原则上给予一般行政处罚。</w:t>
      </w:r>
    </w:p>
    <w:p>
      <w:pPr>
        <w:spacing w:line="560" w:lineRule="exact"/>
        <w:ind w:firstLine="642" w:firstLineChars="200"/>
        <w:rPr>
          <w:rFonts w:hint="eastAsia" w:ascii="仿宋_GB2312" w:hAnsi="仿宋_GB2312" w:eastAsia="仿宋_GB2312" w:cs="仿宋_GB2312"/>
          <w:color w:val="FF0000"/>
          <w:sz w:val="24"/>
        </w:rPr>
      </w:pPr>
      <w:bookmarkStart w:id="9" w:name="_Hlk139140175"/>
      <w:r>
        <w:rPr>
          <w:rFonts w:hint="eastAsia" w:ascii="仿宋_GB2312" w:hAnsi="仿宋_GB2312" w:eastAsia="仿宋_GB2312" w:cs="仿宋_GB2312"/>
          <w:b/>
          <w:bCs/>
          <w:color w:val="000000"/>
          <w:sz w:val="32"/>
          <w:szCs w:val="32"/>
        </w:rPr>
        <w:t xml:space="preserve">第十五条 </w:t>
      </w:r>
      <w:r>
        <w:rPr>
          <w:rFonts w:hint="eastAsia" w:ascii="仿宋_GB2312" w:hAnsi="仿宋_GB2312" w:eastAsia="仿宋_GB2312" w:cs="仿宋_GB2312"/>
          <w:color w:val="000000"/>
          <w:sz w:val="32"/>
          <w:szCs w:val="32"/>
        </w:rPr>
        <w:t>【多个裁量因素并存的适用规则】</w:t>
      </w:r>
      <w:bookmarkEnd w:id="9"/>
      <w:bookmarkStart w:id="10" w:name="_Hlk142252870"/>
      <w:r>
        <w:rPr>
          <w:rFonts w:hint="eastAsia" w:ascii="仿宋_GB2312" w:hAnsi="仿宋_GB2312" w:eastAsia="仿宋_GB2312" w:cs="仿宋_GB2312"/>
          <w:color w:val="000000"/>
          <w:sz w:val="32"/>
          <w:szCs w:val="32"/>
        </w:rPr>
        <w:t>违法行为</w:t>
      </w:r>
      <w:bookmarkEnd w:id="10"/>
      <w:bookmarkStart w:id="11" w:name="_Hlk142246043"/>
      <w:r>
        <w:rPr>
          <w:rFonts w:hint="eastAsia" w:ascii="仿宋_GB2312" w:hAnsi="仿宋_GB2312" w:eastAsia="仿宋_GB2312" w:cs="仿宋_GB2312"/>
          <w:color w:val="000000"/>
          <w:sz w:val="32"/>
          <w:szCs w:val="32"/>
        </w:rPr>
        <w:t>同时具有多个裁量因素的，作出裁量决定时应当结合案件具体情况，</w:t>
      </w:r>
      <w:bookmarkStart w:id="12" w:name="_Hlk142254355"/>
      <w:r>
        <w:rPr>
          <w:rFonts w:hint="eastAsia" w:ascii="仿宋_GB2312" w:hAnsi="仿宋_GB2312" w:eastAsia="仿宋_GB2312" w:cs="仿宋_GB2312"/>
          <w:color w:val="000000"/>
          <w:sz w:val="32"/>
          <w:szCs w:val="32"/>
        </w:rPr>
        <w:t>综合考量案件所有裁量因素</w:t>
      </w:r>
      <w:bookmarkEnd w:id="12"/>
      <w:r>
        <w:rPr>
          <w:rFonts w:hint="eastAsia" w:ascii="仿宋_GB2312" w:hAnsi="仿宋_GB2312" w:eastAsia="仿宋_GB2312" w:cs="仿宋_GB2312"/>
          <w:color w:val="000000"/>
          <w:sz w:val="32"/>
          <w:szCs w:val="32"/>
        </w:rPr>
        <w:t>。在调节处罚幅度时，一般采取同向因素相叠加、逆向因素相抵减的方式，也可以将对整个案情影响较大的裁量因素作为主要考量因素。</w:t>
      </w:r>
      <w:bookmarkEnd w:id="11"/>
    </w:p>
    <w:p>
      <w:pPr>
        <w:spacing w:line="560" w:lineRule="exact"/>
        <w:ind w:firstLine="48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FF0000"/>
          <w:sz w:val="24"/>
        </w:rPr>
        <w:t xml:space="preserve"> </w:t>
      </w:r>
      <w:r>
        <w:rPr>
          <w:rFonts w:hint="eastAsia" w:ascii="仿宋_GB2312" w:hAnsi="仿宋_GB2312" w:eastAsia="仿宋_GB2312" w:cs="仿宋_GB2312"/>
          <w:color w:val="FF0000"/>
          <w:sz w:val="32"/>
          <w:szCs w:val="32"/>
        </w:rPr>
        <w:t xml:space="preserve"> </w:t>
      </w:r>
      <w:r>
        <w:rPr>
          <w:rFonts w:hint="eastAsia" w:ascii="仿宋_GB2312" w:hAnsi="仿宋_GB2312" w:eastAsia="仿宋_GB2312" w:cs="仿宋_GB2312"/>
          <w:b/>
          <w:bCs/>
          <w:color w:val="000000"/>
          <w:sz w:val="32"/>
          <w:szCs w:val="32"/>
        </w:rPr>
        <w:t>第十六条</w:t>
      </w:r>
      <w:r>
        <w:rPr>
          <w:rFonts w:hint="eastAsia" w:ascii="仿宋_GB2312" w:hAnsi="仿宋_GB2312" w:eastAsia="仿宋_GB2312" w:cs="仿宋_GB2312"/>
          <w:color w:val="000000"/>
          <w:sz w:val="32"/>
          <w:szCs w:val="32"/>
        </w:rPr>
        <w:t xml:space="preserve"> 【单处并处的适用规则】</w:t>
      </w:r>
      <w:bookmarkStart w:id="13" w:name="_Hlk139140999"/>
      <w:r>
        <w:rPr>
          <w:rFonts w:hint="eastAsia" w:ascii="仿宋_GB2312" w:hAnsi="仿宋_GB2312" w:eastAsia="仿宋_GB2312" w:cs="仿宋_GB2312"/>
          <w:color w:val="000000"/>
          <w:sz w:val="32"/>
          <w:szCs w:val="32"/>
        </w:rPr>
        <w:t>法律、法规、规章规定可以单处也可以并处不同种类行政处罚的，应当遵循以下适用规则：</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（一）对只有减轻行政处罚情形的，不再实施可并处的罚种；</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（二）对只有从轻行政处罚情形的，可以不再实施可并处的罚种；</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（三）对只有从重行政处罚情形的，应当实施可并处的罚种。</w:t>
      </w:r>
    </w:p>
    <w:bookmarkEnd w:id="13"/>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法律、法规、规章规定应当并处罚款的，对于应减轻处罚情形可以结合实际情形处以低于规定处罚幅度的罚款；对于从轻处罚、一般处罚和从重处罚情形应当在规定处罚幅度内并处罚款。</w:t>
      </w:r>
    </w:p>
    <w:p>
      <w:pPr>
        <w:spacing w:line="560" w:lineRule="exact"/>
        <w:ind w:firstLine="642"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第十七条 【情节严重的适用规则】</w:t>
      </w:r>
      <w:r>
        <w:rPr>
          <w:rFonts w:hint="eastAsia" w:ascii="仿宋_GB2312" w:hAnsi="仿宋_GB2312" w:eastAsia="仿宋_GB2312" w:cs="仿宋_GB2312"/>
          <w:color w:val="000000"/>
          <w:sz w:val="32"/>
          <w:szCs w:val="32"/>
        </w:rPr>
        <w:t xml:space="preserve"> 法律、法规、规章规定“情节严重”情形行政处罚的，对“情节严重”情形的确定，应当遵循以下适用规则：</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w:t>
      </w:r>
      <w:bookmarkStart w:id="14" w:name="_Hlk142250397"/>
      <w:r>
        <w:rPr>
          <w:rFonts w:hint="eastAsia" w:ascii="仿宋_GB2312" w:hAnsi="仿宋_GB2312" w:eastAsia="仿宋_GB2312" w:cs="仿宋_GB2312"/>
          <w:color w:val="000000"/>
          <w:sz w:val="32"/>
          <w:szCs w:val="32"/>
        </w:rPr>
        <w:t>相关实体法有明确规定的，从其规定</w:t>
      </w:r>
      <w:bookmarkEnd w:id="14"/>
      <w:r>
        <w:rPr>
          <w:rFonts w:hint="eastAsia" w:ascii="仿宋_GB2312" w:hAnsi="仿宋_GB2312" w:eastAsia="仿宋_GB2312" w:cs="仿宋_GB2312"/>
          <w:color w:val="000000"/>
          <w:sz w:val="32"/>
          <w:szCs w:val="32"/>
        </w:rPr>
        <w:t>；</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（二）相关实体法未对</w:t>
      </w:r>
      <w:bookmarkStart w:id="15" w:name="_Hlk144050812"/>
      <w:r>
        <w:rPr>
          <w:rFonts w:hint="eastAsia" w:ascii="仿宋_GB2312" w:hAnsi="仿宋_GB2312" w:eastAsia="仿宋_GB2312" w:cs="仿宋_GB2312"/>
          <w:color w:val="000000"/>
          <w:sz w:val="32"/>
          <w:szCs w:val="32"/>
        </w:rPr>
        <w:t>“情节严重”情形作明确</w:t>
      </w:r>
      <w:bookmarkEnd w:id="15"/>
      <w:r>
        <w:rPr>
          <w:rFonts w:hint="eastAsia" w:ascii="仿宋_GB2312" w:hAnsi="仿宋_GB2312" w:eastAsia="仿宋_GB2312" w:cs="仿宋_GB2312"/>
          <w:color w:val="000000"/>
          <w:sz w:val="32"/>
          <w:szCs w:val="32"/>
        </w:rPr>
        <w:t>规定的，应当依据立法本意，综合考虑本地区商务行政执法实际和案件具体违法事实等情况，全面考察违法行为的事前、事中、事后裁量因素，对是否属于“情节严重”情形进行判断。</w:t>
      </w:r>
    </w:p>
    <w:p>
      <w:pPr>
        <w:spacing w:line="560" w:lineRule="exact"/>
        <w:ind w:firstLine="642" w:firstLineChars="200"/>
        <w:rPr>
          <w:rFonts w:hint="eastAsia" w:ascii="仿宋_GB2312" w:hAnsi="仿宋_GB2312" w:eastAsia="仿宋_GB2312" w:cs="仿宋_GB2312"/>
          <w:color w:val="000000"/>
          <w:sz w:val="32"/>
          <w:szCs w:val="32"/>
        </w:rPr>
      </w:pPr>
      <w:bookmarkStart w:id="16" w:name="_Hlk139142383"/>
      <w:r>
        <w:rPr>
          <w:rFonts w:hint="eastAsia" w:ascii="仿宋_GB2312" w:hAnsi="仿宋_GB2312" w:eastAsia="仿宋_GB2312" w:cs="仿宋_GB2312"/>
          <w:b/>
          <w:bCs/>
          <w:color w:val="000000"/>
          <w:sz w:val="32"/>
          <w:szCs w:val="32"/>
        </w:rPr>
        <w:t>第十八条</w:t>
      </w:r>
      <w:bookmarkEnd w:id="16"/>
      <w:r>
        <w:rPr>
          <w:rFonts w:hint="eastAsia" w:ascii="仿宋_GB2312" w:hAnsi="仿宋_GB2312" w:eastAsia="仿宋_GB2312" w:cs="仿宋_GB2312"/>
          <w:color w:val="000000"/>
          <w:sz w:val="32"/>
          <w:szCs w:val="32"/>
        </w:rPr>
        <w:t xml:space="preserve"> 【罚款的适用标准】对法律、法规、规章设定有一定幅度的罚款处罚的，罚款数额（倍数）按照以下标准确定：</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（一）从轻行政处罚的，罚款的数额（倍数）为罚款幅度的最低</w:t>
      </w:r>
      <w:bookmarkStart w:id="17" w:name="_Hlk142249832"/>
      <w:r>
        <w:rPr>
          <w:rFonts w:hint="eastAsia" w:ascii="仿宋_GB2312" w:hAnsi="仿宋_GB2312" w:eastAsia="仿宋_GB2312" w:cs="仿宋_GB2312"/>
          <w:color w:val="000000"/>
          <w:sz w:val="32"/>
          <w:szCs w:val="32"/>
        </w:rPr>
        <w:t>值</w:t>
      </w:r>
      <w:bookmarkEnd w:id="17"/>
      <w:r>
        <w:rPr>
          <w:rFonts w:hint="eastAsia" w:ascii="仿宋_GB2312" w:hAnsi="仿宋_GB2312" w:eastAsia="仿宋_GB2312" w:cs="仿宋_GB2312"/>
          <w:color w:val="000000"/>
          <w:sz w:val="32"/>
          <w:szCs w:val="32"/>
        </w:rPr>
        <w:t>到最高值区间内较低的30%部分（含本数）；</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（二）一般行政处罚的，罚款的数额（倍数）为罚款幅度的最低值到最高值区间内30%至70%部分（不含本数）；</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（三）从重行政处罚的，罚款的数额（倍数）为罚款幅度的最低值到最高值区间内较高的30%部分（含本数）。</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法律、法规、规章只规定最高罚款数额（倍数）没有规定最低罚款数额（倍数）的，最低罚款数额（倍数）以零计算。</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法律、法规、规章对罚款幅度另有规定的，从其规定。</w:t>
      </w:r>
    </w:p>
    <w:p>
      <w:pPr>
        <w:spacing w:line="560" w:lineRule="exact"/>
        <w:ind w:firstLine="642"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第十九条</w:t>
      </w:r>
      <w:r>
        <w:rPr>
          <w:rFonts w:hint="eastAsia" w:ascii="仿宋_GB2312" w:hAnsi="仿宋_GB2312" w:eastAsia="仿宋_GB2312" w:cs="仿宋_GB2312"/>
          <w:color w:val="000000"/>
          <w:sz w:val="32"/>
          <w:szCs w:val="32"/>
        </w:rPr>
        <w:t>【限期改正的期限】商务执法部门实施行政处罚时，应当责令当事人改正或者限期改正违法行为。</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法律、法规、规章规定先责令改正、逾期不改正再进行行政处罚的，应当作出书面责令改正通知，明确责令改正的期限。逾期不改正的，应当及时予以处罚。</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除法律、法规、规章另有规定的，商务执法部门应当合理确定改正期限。如有正当理由，经本部门负责人批准，可适当延长改正期限。</w:t>
      </w:r>
    </w:p>
    <w:p>
      <w:pPr>
        <w:numPr>
          <w:ilvl w:val="255"/>
          <w:numId w:val="0"/>
        </w:numPr>
        <w:spacing w:line="560" w:lineRule="exact"/>
        <w:ind w:firstLine="642"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第二十条</w:t>
      </w:r>
      <w:r>
        <w:rPr>
          <w:rFonts w:hint="eastAsia" w:ascii="仿宋_GB2312" w:hAnsi="仿宋_GB2312" w:eastAsia="仿宋_GB2312" w:cs="仿宋_GB2312"/>
          <w:color w:val="000000"/>
          <w:sz w:val="32"/>
          <w:szCs w:val="32"/>
        </w:rPr>
        <w:t>【基准的适用规则】</w:t>
      </w:r>
      <w:bookmarkStart w:id="18" w:name="_Hlk144041745"/>
      <w:r>
        <w:rPr>
          <w:rFonts w:hint="eastAsia" w:ascii="仿宋_GB2312" w:hAnsi="仿宋_GB2312" w:eastAsia="仿宋_GB2312" w:cs="仿宋_GB2312"/>
          <w:color w:val="000000"/>
          <w:sz w:val="32"/>
          <w:szCs w:val="32"/>
        </w:rPr>
        <w:t>省商务主管部门制定《江苏省商务领域行政处罚裁量权基准》</w:t>
      </w:r>
      <w:bookmarkEnd w:id="18"/>
      <w:r>
        <w:rPr>
          <w:rFonts w:hint="eastAsia" w:ascii="仿宋_GB2312" w:hAnsi="仿宋_GB2312" w:eastAsia="仿宋_GB2312" w:cs="仿宋_GB2312"/>
          <w:color w:val="000000"/>
          <w:sz w:val="32"/>
          <w:szCs w:val="32"/>
        </w:rPr>
        <w:t>（附件），各级商务执法部门行使商务领域行政处罚裁量权原则上应直接适用。</w:t>
      </w:r>
    </w:p>
    <w:p>
      <w:pPr>
        <w:numPr>
          <w:ilvl w:val="255"/>
          <w:numId w:val="0"/>
        </w:num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对同一行政处罚事项，</w:t>
      </w:r>
      <w:bookmarkStart w:id="19" w:name="_Hlk142304996"/>
      <w:r>
        <w:rPr>
          <w:rFonts w:hint="eastAsia" w:ascii="仿宋_GB2312" w:hAnsi="仿宋_GB2312" w:eastAsia="仿宋_GB2312" w:cs="仿宋_GB2312"/>
          <w:color w:val="000000"/>
          <w:sz w:val="32"/>
          <w:szCs w:val="32"/>
        </w:rPr>
        <w:t>设区的市商务主管部门依法制定的行政处罚裁量权基准</w:t>
      </w:r>
      <w:bookmarkEnd w:id="19"/>
      <w:r>
        <w:rPr>
          <w:rFonts w:hint="eastAsia" w:ascii="仿宋_GB2312" w:hAnsi="仿宋_GB2312" w:eastAsia="仿宋_GB2312" w:cs="仿宋_GB2312"/>
          <w:color w:val="000000"/>
          <w:sz w:val="32"/>
          <w:szCs w:val="32"/>
        </w:rPr>
        <w:t>与省商务主管部门制定的商务领域行政处罚裁量权基准冲突的，应当适用省商务主管部门制定的行政处罚裁量权基准。</w:t>
      </w:r>
    </w:p>
    <w:p>
      <w:pPr>
        <w:numPr>
          <w:ilvl w:val="255"/>
          <w:numId w:val="0"/>
        </w:num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设区的市、县（市、区）商务主管部门可以结合地区经济社会发展状况，根据实际工作需要，在法律、法规、规章规定的行政处罚裁量权范围内，对上级商务主管部门制定的行政处罚裁量权基准作出具体操作性规定，但不能超出上级商务主管部门划定的阶次或者幅度。</w:t>
      </w:r>
    </w:p>
    <w:p>
      <w:pPr>
        <w:spacing w:line="560" w:lineRule="exact"/>
        <w:ind w:firstLine="642" w:firstLineChars="200"/>
        <w:rPr>
          <w:rFonts w:hint="eastAsia" w:ascii="仿宋_GB2312" w:hAnsi="仿宋_GB2312" w:eastAsia="仿宋_GB2312" w:cs="仿宋_GB2312"/>
          <w:b/>
          <w:bCs/>
          <w:color w:val="000000"/>
          <w:sz w:val="32"/>
          <w:szCs w:val="32"/>
        </w:rPr>
      </w:pPr>
      <w:bookmarkStart w:id="20" w:name="_Hlk139142501"/>
      <w:bookmarkStart w:id="21" w:name="_Hlk139283181"/>
      <w:r>
        <w:rPr>
          <w:rFonts w:hint="eastAsia" w:ascii="仿宋_GB2312" w:hAnsi="仿宋_GB2312" w:eastAsia="仿宋_GB2312" w:cs="仿宋_GB2312"/>
          <w:b/>
          <w:bCs/>
          <w:color w:val="000000"/>
          <w:sz w:val="32"/>
          <w:szCs w:val="32"/>
        </w:rPr>
        <w:t>第二十一条</w:t>
      </w:r>
      <w:bookmarkEnd w:id="20"/>
      <w:r>
        <w:rPr>
          <w:rFonts w:hint="eastAsia" w:ascii="仿宋_GB2312" w:hAnsi="仿宋_GB2312" w:eastAsia="仿宋_GB2312" w:cs="仿宋_GB2312"/>
          <w:b/>
          <w:bCs/>
          <w:color w:val="000000"/>
          <w:sz w:val="32"/>
          <w:szCs w:val="32"/>
        </w:rPr>
        <w:t>【</w:t>
      </w:r>
      <w:r>
        <w:rPr>
          <w:rFonts w:hint="eastAsia" w:ascii="仿宋_GB2312" w:hAnsi="仿宋_GB2312" w:eastAsia="仿宋_GB2312" w:cs="仿宋_GB2312"/>
          <w:color w:val="000000"/>
          <w:sz w:val="32"/>
          <w:szCs w:val="32"/>
        </w:rPr>
        <w:t>适用程序</w:t>
      </w:r>
      <w:r>
        <w:rPr>
          <w:rFonts w:hint="eastAsia" w:ascii="仿宋_GB2312" w:hAnsi="仿宋_GB2312" w:eastAsia="仿宋_GB2312" w:cs="仿宋_GB2312"/>
          <w:b/>
          <w:bCs/>
          <w:color w:val="000000"/>
          <w:sz w:val="32"/>
          <w:szCs w:val="32"/>
        </w:rPr>
        <w:t xml:space="preserve">】 </w:t>
      </w:r>
      <w:r>
        <w:rPr>
          <w:rFonts w:hint="eastAsia" w:ascii="仿宋_GB2312" w:hAnsi="仿宋_GB2312" w:eastAsia="仿宋_GB2312" w:cs="仿宋_GB2312"/>
          <w:color w:val="000000"/>
          <w:sz w:val="32"/>
          <w:szCs w:val="32"/>
        </w:rPr>
        <w:t>有不予行政处罚、减轻处罚、从轻处罚、从重处罚情形的，行政处罚告知书、行政处罚决定书应当载明相关事实、理由、依据以及行政处罚裁量权基准适用情况。</w:t>
      </w:r>
    </w:p>
    <w:bookmarkEnd w:id="21"/>
    <w:p>
      <w:pPr>
        <w:spacing w:line="560" w:lineRule="exact"/>
        <w:ind w:firstLine="642" w:firstLineChars="200"/>
        <w:rPr>
          <w:rFonts w:hint="eastAsia" w:ascii="仿宋_GB2312" w:hAnsi="仿宋_GB2312" w:eastAsia="仿宋_GB2312" w:cs="仿宋_GB2312"/>
          <w:color w:val="000000"/>
          <w:sz w:val="32"/>
          <w:szCs w:val="32"/>
        </w:rPr>
      </w:pPr>
      <w:bookmarkStart w:id="22" w:name="_Hlk139284627"/>
      <w:r>
        <w:rPr>
          <w:rFonts w:hint="eastAsia" w:ascii="仿宋_GB2312" w:hAnsi="仿宋_GB2312" w:eastAsia="仿宋_GB2312" w:cs="仿宋_GB2312"/>
          <w:b/>
          <w:bCs/>
          <w:color w:val="000000"/>
          <w:sz w:val="32"/>
          <w:szCs w:val="32"/>
        </w:rPr>
        <w:t>第二十二条</w:t>
      </w:r>
      <w:bookmarkEnd w:id="22"/>
      <w:r>
        <w:rPr>
          <w:rFonts w:hint="eastAsia" w:ascii="仿宋_GB2312" w:hAnsi="仿宋_GB2312" w:eastAsia="仿宋_GB2312" w:cs="仿宋_GB2312"/>
          <w:color w:val="000000"/>
          <w:sz w:val="32"/>
          <w:szCs w:val="32"/>
        </w:rPr>
        <w:t>【监督指导】商务执法部门应当加强监督与指导，发现行使商务行政处罚裁量权有违法或者不当情形的，应当及时纠正。因不规范适用行政处罚裁量权基准造成严重后果的，依法追究有关人员责任。</w:t>
      </w:r>
    </w:p>
    <w:p>
      <w:pPr>
        <w:spacing w:line="560" w:lineRule="exact"/>
        <w:ind w:firstLine="642"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第二十三条</w:t>
      </w:r>
      <w:r>
        <w:rPr>
          <w:rFonts w:hint="eastAsia" w:ascii="仿宋_GB2312" w:hAnsi="仿宋_GB2312" w:eastAsia="仿宋_GB2312" w:cs="仿宋_GB2312"/>
          <w:color w:val="000000"/>
          <w:sz w:val="32"/>
          <w:szCs w:val="32"/>
        </w:rPr>
        <w:t>【解释】本</w:t>
      </w:r>
      <w:r>
        <w:rPr>
          <w:rFonts w:hint="eastAsia" w:ascii="仿宋_GB2312" w:hAnsi="仿宋_GB2312" w:eastAsia="仿宋_GB2312" w:cs="仿宋_GB2312"/>
          <w:color w:val="000000"/>
          <w:sz w:val="32"/>
          <w:szCs w:val="32"/>
          <w:lang w:eastAsia="zh-CN"/>
        </w:rPr>
        <w:t>规定</w:t>
      </w:r>
      <w:r>
        <w:rPr>
          <w:rFonts w:hint="eastAsia" w:ascii="仿宋_GB2312" w:hAnsi="仿宋_GB2312" w:eastAsia="仿宋_GB2312" w:cs="仿宋_GB2312"/>
          <w:color w:val="000000"/>
          <w:sz w:val="32"/>
          <w:szCs w:val="32"/>
        </w:rPr>
        <w:t>由江苏省商务厅负责解释。</w:t>
      </w:r>
    </w:p>
    <w:p>
      <w:pPr>
        <w:spacing w:line="560" w:lineRule="exact"/>
        <w:ind w:firstLine="642"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第二十四条</w:t>
      </w:r>
      <w:r>
        <w:rPr>
          <w:rFonts w:hint="eastAsia" w:ascii="仿宋_GB2312" w:hAnsi="仿宋_GB2312" w:eastAsia="仿宋_GB2312" w:cs="仿宋_GB2312"/>
          <w:color w:val="000000"/>
          <w:sz w:val="32"/>
          <w:szCs w:val="32"/>
        </w:rPr>
        <w:t>【有效期】本</w:t>
      </w:r>
      <w:r>
        <w:rPr>
          <w:rFonts w:hint="eastAsia" w:ascii="仿宋_GB2312" w:hAnsi="仿宋_GB2312" w:eastAsia="仿宋_GB2312" w:cs="仿宋_GB2312"/>
          <w:color w:val="000000"/>
          <w:sz w:val="32"/>
          <w:szCs w:val="32"/>
          <w:lang w:eastAsia="zh-CN"/>
        </w:rPr>
        <w:t>规定</w:t>
      </w:r>
      <w:r>
        <w:rPr>
          <w:rFonts w:hint="eastAsia" w:ascii="仿宋_GB2312" w:hAnsi="仿宋_GB2312" w:eastAsia="仿宋_GB2312" w:cs="仿宋_GB2312"/>
          <w:color w:val="000000"/>
          <w:sz w:val="32"/>
          <w:szCs w:val="32"/>
        </w:rPr>
        <w:t>自2023年【】月【】日起施行，有效期至【】年【】月【】日。</w:t>
      </w:r>
    </w:p>
    <w:p>
      <w:pPr>
        <w:spacing w:line="560" w:lineRule="exact"/>
        <w:ind w:firstLine="640" w:firstLineChars="200"/>
        <w:rPr>
          <w:rFonts w:hint="eastAsia" w:ascii="仿宋_GB2312" w:hAnsi="仿宋_GB2312" w:eastAsia="仿宋_GB2312" w:cs="仿宋_GB2312"/>
          <w:color w:val="000000"/>
          <w:sz w:val="32"/>
          <w:szCs w:val="32"/>
        </w:rPr>
      </w:pP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附件：江苏省商务领域行政处罚裁量权基准</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36378294"/>
    </w:sdtPr>
    <w:sdtContent>
      <w:p>
        <w:pPr>
          <w:pStyle w:val="5"/>
          <w:jc w:val="center"/>
        </w:pPr>
        <w:r>
          <w:fldChar w:fldCharType="begin"/>
        </w:r>
        <w:r>
          <w:instrText xml:space="preserve">PAGE   \* MERGEFORMAT</w:instrText>
        </w:r>
        <w:r>
          <w:fldChar w:fldCharType="separate"/>
        </w:r>
        <w:r>
          <w:rPr>
            <w:lang w:val="zh-CN"/>
          </w:rPr>
          <w:t>-</w:t>
        </w:r>
        <w:r>
          <w:t xml:space="preserve"> 10 -</w:t>
        </w:r>
        <w:r>
          <w:fldChar w:fldCharType="end"/>
        </w:r>
      </w:p>
    </w:sdtContent>
  </w:sdt>
  <w:p>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897E5D"/>
    <w:multiLevelType w:val="multilevel"/>
    <w:tmpl w:val="23897E5D"/>
    <w:lvl w:ilvl="0" w:tentative="0">
      <w:start w:val="1"/>
      <w:numFmt w:val="japaneseCounting"/>
      <w:lvlText w:val="（%1）"/>
      <w:lvlJc w:val="left"/>
      <w:pPr>
        <w:ind w:left="1720" w:hanging="1080"/>
      </w:pPr>
      <w:rPr>
        <w:rFonts w:hint="default"/>
        <w:color w:val="000000" w:themeColor="text1"/>
        <w14:textFill>
          <w14:solidFill>
            <w14:schemeClr w14:val="tx1"/>
          </w14:solidFill>
        </w14:textFill>
      </w:rPr>
    </w:lvl>
    <w:lvl w:ilvl="1" w:tentative="0">
      <w:start w:val="1"/>
      <w:numFmt w:val="lowerLetter"/>
      <w:lvlText w:val="%2)"/>
      <w:lvlJc w:val="left"/>
      <w:pPr>
        <w:ind w:left="1520" w:hanging="440"/>
      </w:pPr>
    </w:lvl>
    <w:lvl w:ilvl="2" w:tentative="0">
      <w:start w:val="1"/>
      <w:numFmt w:val="lowerRoman"/>
      <w:lvlText w:val="%3."/>
      <w:lvlJc w:val="right"/>
      <w:pPr>
        <w:ind w:left="1960" w:hanging="440"/>
      </w:pPr>
    </w:lvl>
    <w:lvl w:ilvl="3" w:tentative="0">
      <w:start w:val="1"/>
      <w:numFmt w:val="decimal"/>
      <w:lvlText w:val="%4."/>
      <w:lvlJc w:val="left"/>
      <w:pPr>
        <w:ind w:left="2400" w:hanging="440"/>
      </w:pPr>
    </w:lvl>
    <w:lvl w:ilvl="4" w:tentative="0">
      <w:start w:val="1"/>
      <w:numFmt w:val="lowerLetter"/>
      <w:lvlText w:val="%5)"/>
      <w:lvlJc w:val="left"/>
      <w:pPr>
        <w:ind w:left="2840" w:hanging="440"/>
      </w:pPr>
    </w:lvl>
    <w:lvl w:ilvl="5" w:tentative="0">
      <w:start w:val="1"/>
      <w:numFmt w:val="lowerRoman"/>
      <w:lvlText w:val="%6."/>
      <w:lvlJc w:val="right"/>
      <w:pPr>
        <w:ind w:left="3280" w:hanging="440"/>
      </w:pPr>
    </w:lvl>
    <w:lvl w:ilvl="6" w:tentative="0">
      <w:start w:val="1"/>
      <w:numFmt w:val="decimal"/>
      <w:lvlText w:val="%7."/>
      <w:lvlJc w:val="left"/>
      <w:pPr>
        <w:ind w:left="3720" w:hanging="440"/>
      </w:pPr>
    </w:lvl>
    <w:lvl w:ilvl="7" w:tentative="0">
      <w:start w:val="1"/>
      <w:numFmt w:val="lowerLetter"/>
      <w:lvlText w:val="%8)"/>
      <w:lvlJc w:val="left"/>
      <w:pPr>
        <w:ind w:left="4160" w:hanging="440"/>
      </w:pPr>
    </w:lvl>
    <w:lvl w:ilvl="8" w:tentative="0">
      <w:start w:val="1"/>
      <w:numFmt w:val="lowerRoman"/>
      <w:lvlText w:val="%9."/>
      <w:lvlJc w:val="right"/>
      <w:pPr>
        <w:ind w:left="4600" w:hanging="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JlZGQyNmVmOTQxMTk1YzZlNGNhZGIwZjRjZGRiNjcifQ=="/>
  </w:docVars>
  <w:rsids>
    <w:rsidRoot w:val="45C87E64"/>
    <w:rsid w:val="0000134D"/>
    <w:rsid w:val="000052ED"/>
    <w:rsid w:val="00011B06"/>
    <w:rsid w:val="00013B6C"/>
    <w:rsid w:val="0001430B"/>
    <w:rsid w:val="0001690E"/>
    <w:rsid w:val="00020493"/>
    <w:rsid w:val="0002078C"/>
    <w:rsid w:val="000207EF"/>
    <w:rsid w:val="00021453"/>
    <w:rsid w:val="00021D15"/>
    <w:rsid w:val="000232E0"/>
    <w:rsid w:val="00023961"/>
    <w:rsid w:val="00027EA8"/>
    <w:rsid w:val="000342D7"/>
    <w:rsid w:val="00035B33"/>
    <w:rsid w:val="00040DAA"/>
    <w:rsid w:val="0004317A"/>
    <w:rsid w:val="000436CE"/>
    <w:rsid w:val="00044909"/>
    <w:rsid w:val="000463EC"/>
    <w:rsid w:val="00046934"/>
    <w:rsid w:val="00047A9C"/>
    <w:rsid w:val="0005067D"/>
    <w:rsid w:val="00051A41"/>
    <w:rsid w:val="00056ED9"/>
    <w:rsid w:val="0006033E"/>
    <w:rsid w:val="00061389"/>
    <w:rsid w:val="00061E4C"/>
    <w:rsid w:val="0006296D"/>
    <w:rsid w:val="000631AE"/>
    <w:rsid w:val="00064EA6"/>
    <w:rsid w:val="000659E4"/>
    <w:rsid w:val="000705C1"/>
    <w:rsid w:val="000708A5"/>
    <w:rsid w:val="000720F8"/>
    <w:rsid w:val="00072993"/>
    <w:rsid w:val="0007478D"/>
    <w:rsid w:val="0008017E"/>
    <w:rsid w:val="00080CF6"/>
    <w:rsid w:val="00082AB0"/>
    <w:rsid w:val="000855C7"/>
    <w:rsid w:val="00086CB9"/>
    <w:rsid w:val="00086DF4"/>
    <w:rsid w:val="00087F0E"/>
    <w:rsid w:val="00090649"/>
    <w:rsid w:val="00090EF4"/>
    <w:rsid w:val="00092918"/>
    <w:rsid w:val="00093624"/>
    <w:rsid w:val="000941FB"/>
    <w:rsid w:val="000965EC"/>
    <w:rsid w:val="000A4018"/>
    <w:rsid w:val="000A5581"/>
    <w:rsid w:val="000A71B7"/>
    <w:rsid w:val="000B0D1E"/>
    <w:rsid w:val="000B164C"/>
    <w:rsid w:val="000B6A6C"/>
    <w:rsid w:val="000B7B76"/>
    <w:rsid w:val="000C085F"/>
    <w:rsid w:val="000C1D03"/>
    <w:rsid w:val="000C3F04"/>
    <w:rsid w:val="000C5DA0"/>
    <w:rsid w:val="000C6B07"/>
    <w:rsid w:val="000D49A5"/>
    <w:rsid w:val="000D5604"/>
    <w:rsid w:val="000D5907"/>
    <w:rsid w:val="000E04D5"/>
    <w:rsid w:val="000E1E28"/>
    <w:rsid w:val="000E334F"/>
    <w:rsid w:val="000E4CA9"/>
    <w:rsid w:val="000E5407"/>
    <w:rsid w:val="000E63C5"/>
    <w:rsid w:val="000E6D11"/>
    <w:rsid w:val="000F6871"/>
    <w:rsid w:val="00100C68"/>
    <w:rsid w:val="00101D94"/>
    <w:rsid w:val="00103B1B"/>
    <w:rsid w:val="00103C3F"/>
    <w:rsid w:val="00106891"/>
    <w:rsid w:val="00110DB7"/>
    <w:rsid w:val="0011148C"/>
    <w:rsid w:val="0011233D"/>
    <w:rsid w:val="00113374"/>
    <w:rsid w:val="00114847"/>
    <w:rsid w:val="00115C66"/>
    <w:rsid w:val="0011704D"/>
    <w:rsid w:val="00120E52"/>
    <w:rsid w:val="001258C3"/>
    <w:rsid w:val="00127F1C"/>
    <w:rsid w:val="0013238B"/>
    <w:rsid w:val="00133440"/>
    <w:rsid w:val="00133C13"/>
    <w:rsid w:val="0014084D"/>
    <w:rsid w:val="00140DDF"/>
    <w:rsid w:val="00141380"/>
    <w:rsid w:val="00143034"/>
    <w:rsid w:val="00145037"/>
    <w:rsid w:val="001500DB"/>
    <w:rsid w:val="00151FC0"/>
    <w:rsid w:val="00152482"/>
    <w:rsid w:val="001538B3"/>
    <w:rsid w:val="00162121"/>
    <w:rsid w:val="0016516F"/>
    <w:rsid w:val="00167652"/>
    <w:rsid w:val="0017043E"/>
    <w:rsid w:val="00180561"/>
    <w:rsid w:val="00184137"/>
    <w:rsid w:val="001845BB"/>
    <w:rsid w:val="001871A8"/>
    <w:rsid w:val="00187795"/>
    <w:rsid w:val="001928E3"/>
    <w:rsid w:val="0019331D"/>
    <w:rsid w:val="00193442"/>
    <w:rsid w:val="001945DC"/>
    <w:rsid w:val="00195222"/>
    <w:rsid w:val="00195B29"/>
    <w:rsid w:val="00196F3B"/>
    <w:rsid w:val="00197C8E"/>
    <w:rsid w:val="001A0C57"/>
    <w:rsid w:val="001A6073"/>
    <w:rsid w:val="001A6396"/>
    <w:rsid w:val="001B2403"/>
    <w:rsid w:val="001C146E"/>
    <w:rsid w:val="001C1AE3"/>
    <w:rsid w:val="001C2381"/>
    <w:rsid w:val="001C376E"/>
    <w:rsid w:val="001C524C"/>
    <w:rsid w:val="001C536D"/>
    <w:rsid w:val="001C588A"/>
    <w:rsid w:val="001C5CD3"/>
    <w:rsid w:val="001C5D69"/>
    <w:rsid w:val="001C687E"/>
    <w:rsid w:val="001C75A0"/>
    <w:rsid w:val="001D119B"/>
    <w:rsid w:val="001D1E4D"/>
    <w:rsid w:val="001D3CE6"/>
    <w:rsid w:val="001D4553"/>
    <w:rsid w:val="001D6BA4"/>
    <w:rsid w:val="001D73B4"/>
    <w:rsid w:val="001E196C"/>
    <w:rsid w:val="001E1BD7"/>
    <w:rsid w:val="001E3035"/>
    <w:rsid w:val="001E35A1"/>
    <w:rsid w:val="001E51CB"/>
    <w:rsid w:val="001E548C"/>
    <w:rsid w:val="001E6043"/>
    <w:rsid w:val="001F1CAA"/>
    <w:rsid w:val="0020177D"/>
    <w:rsid w:val="00201C71"/>
    <w:rsid w:val="0020750C"/>
    <w:rsid w:val="002079AE"/>
    <w:rsid w:val="002110D0"/>
    <w:rsid w:val="00211B30"/>
    <w:rsid w:val="002123E7"/>
    <w:rsid w:val="00213D26"/>
    <w:rsid w:val="00214259"/>
    <w:rsid w:val="002146EB"/>
    <w:rsid w:val="00214DB4"/>
    <w:rsid w:val="002213B3"/>
    <w:rsid w:val="00221E71"/>
    <w:rsid w:val="00222353"/>
    <w:rsid w:val="00222910"/>
    <w:rsid w:val="0022671B"/>
    <w:rsid w:val="0022729D"/>
    <w:rsid w:val="00227F11"/>
    <w:rsid w:val="00231DB7"/>
    <w:rsid w:val="002340F1"/>
    <w:rsid w:val="00237752"/>
    <w:rsid w:val="002420E2"/>
    <w:rsid w:val="002520E1"/>
    <w:rsid w:val="00252DA5"/>
    <w:rsid w:val="002562E9"/>
    <w:rsid w:val="00256CCD"/>
    <w:rsid w:val="0025722F"/>
    <w:rsid w:val="00261BF3"/>
    <w:rsid w:val="00262B3E"/>
    <w:rsid w:val="00264065"/>
    <w:rsid w:val="00264D11"/>
    <w:rsid w:val="00270394"/>
    <w:rsid w:val="002718FC"/>
    <w:rsid w:val="0027551D"/>
    <w:rsid w:val="00281B58"/>
    <w:rsid w:val="002832C6"/>
    <w:rsid w:val="002863CE"/>
    <w:rsid w:val="00286FBD"/>
    <w:rsid w:val="00292202"/>
    <w:rsid w:val="002A08C6"/>
    <w:rsid w:val="002A1B44"/>
    <w:rsid w:val="002A2B2B"/>
    <w:rsid w:val="002A49AF"/>
    <w:rsid w:val="002A5646"/>
    <w:rsid w:val="002B1A58"/>
    <w:rsid w:val="002B2C34"/>
    <w:rsid w:val="002B6AD1"/>
    <w:rsid w:val="002C05A7"/>
    <w:rsid w:val="002C0747"/>
    <w:rsid w:val="002C0D64"/>
    <w:rsid w:val="002C0EAE"/>
    <w:rsid w:val="002C1A94"/>
    <w:rsid w:val="002C1BFA"/>
    <w:rsid w:val="002C29F7"/>
    <w:rsid w:val="002C35EC"/>
    <w:rsid w:val="002C3EE6"/>
    <w:rsid w:val="002C4345"/>
    <w:rsid w:val="002D1F4A"/>
    <w:rsid w:val="002D4184"/>
    <w:rsid w:val="002D4DD8"/>
    <w:rsid w:val="002D5D03"/>
    <w:rsid w:val="002D7DDF"/>
    <w:rsid w:val="002E304D"/>
    <w:rsid w:val="002E725E"/>
    <w:rsid w:val="002E7A6D"/>
    <w:rsid w:val="002F141C"/>
    <w:rsid w:val="002F2A15"/>
    <w:rsid w:val="002F2FD2"/>
    <w:rsid w:val="002F4FC7"/>
    <w:rsid w:val="002F6FDB"/>
    <w:rsid w:val="003015E2"/>
    <w:rsid w:val="00301782"/>
    <w:rsid w:val="003021BC"/>
    <w:rsid w:val="0030607D"/>
    <w:rsid w:val="00306AE4"/>
    <w:rsid w:val="003077EB"/>
    <w:rsid w:val="00310E18"/>
    <w:rsid w:val="00314039"/>
    <w:rsid w:val="00314DF7"/>
    <w:rsid w:val="003160FC"/>
    <w:rsid w:val="00320F14"/>
    <w:rsid w:val="00322D54"/>
    <w:rsid w:val="003269A1"/>
    <w:rsid w:val="003332F3"/>
    <w:rsid w:val="00346C70"/>
    <w:rsid w:val="00347BDF"/>
    <w:rsid w:val="00347C91"/>
    <w:rsid w:val="00353226"/>
    <w:rsid w:val="00355582"/>
    <w:rsid w:val="00356262"/>
    <w:rsid w:val="00360878"/>
    <w:rsid w:val="00360E60"/>
    <w:rsid w:val="0036567B"/>
    <w:rsid w:val="00365940"/>
    <w:rsid w:val="00366705"/>
    <w:rsid w:val="00367FD7"/>
    <w:rsid w:val="00372CD8"/>
    <w:rsid w:val="00377930"/>
    <w:rsid w:val="00390934"/>
    <w:rsid w:val="00391C79"/>
    <w:rsid w:val="003964F2"/>
    <w:rsid w:val="003A263A"/>
    <w:rsid w:val="003A303B"/>
    <w:rsid w:val="003A45B0"/>
    <w:rsid w:val="003A655F"/>
    <w:rsid w:val="003B0D25"/>
    <w:rsid w:val="003B108D"/>
    <w:rsid w:val="003B2814"/>
    <w:rsid w:val="003B3B1E"/>
    <w:rsid w:val="003C017A"/>
    <w:rsid w:val="003C2968"/>
    <w:rsid w:val="003C46AC"/>
    <w:rsid w:val="003C7D58"/>
    <w:rsid w:val="003D06D2"/>
    <w:rsid w:val="003D083C"/>
    <w:rsid w:val="003D097A"/>
    <w:rsid w:val="003D2E84"/>
    <w:rsid w:val="003D5637"/>
    <w:rsid w:val="003D7441"/>
    <w:rsid w:val="003D74FE"/>
    <w:rsid w:val="003E042C"/>
    <w:rsid w:val="003E0807"/>
    <w:rsid w:val="003E1ACF"/>
    <w:rsid w:val="003E5B01"/>
    <w:rsid w:val="003E6E46"/>
    <w:rsid w:val="003E7252"/>
    <w:rsid w:val="003F149C"/>
    <w:rsid w:val="003F4154"/>
    <w:rsid w:val="003F57D6"/>
    <w:rsid w:val="003F58FF"/>
    <w:rsid w:val="003F6580"/>
    <w:rsid w:val="003F72D0"/>
    <w:rsid w:val="00410E5C"/>
    <w:rsid w:val="00412701"/>
    <w:rsid w:val="004127CC"/>
    <w:rsid w:val="0041283F"/>
    <w:rsid w:val="00412CFB"/>
    <w:rsid w:val="00413B75"/>
    <w:rsid w:val="00413D3C"/>
    <w:rsid w:val="004143D0"/>
    <w:rsid w:val="0041498B"/>
    <w:rsid w:val="0041560F"/>
    <w:rsid w:val="00424AD4"/>
    <w:rsid w:val="004334DF"/>
    <w:rsid w:val="00434161"/>
    <w:rsid w:val="0043570C"/>
    <w:rsid w:val="00436F2F"/>
    <w:rsid w:val="004418AC"/>
    <w:rsid w:val="00442408"/>
    <w:rsid w:val="004447CC"/>
    <w:rsid w:val="004464E3"/>
    <w:rsid w:val="00450213"/>
    <w:rsid w:val="00450B56"/>
    <w:rsid w:val="004523ED"/>
    <w:rsid w:val="004526E2"/>
    <w:rsid w:val="004528A7"/>
    <w:rsid w:val="004539ED"/>
    <w:rsid w:val="00454DF5"/>
    <w:rsid w:val="0045551A"/>
    <w:rsid w:val="00464707"/>
    <w:rsid w:val="0046623B"/>
    <w:rsid w:val="00466ED3"/>
    <w:rsid w:val="00471465"/>
    <w:rsid w:val="004727E1"/>
    <w:rsid w:val="00473A7D"/>
    <w:rsid w:val="0047597E"/>
    <w:rsid w:val="00476B97"/>
    <w:rsid w:val="00482E66"/>
    <w:rsid w:val="0048333F"/>
    <w:rsid w:val="00483C0A"/>
    <w:rsid w:val="00485F0E"/>
    <w:rsid w:val="00486537"/>
    <w:rsid w:val="00487F5E"/>
    <w:rsid w:val="00494AF2"/>
    <w:rsid w:val="00496708"/>
    <w:rsid w:val="004A14B7"/>
    <w:rsid w:val="004A373B"/>
    <w:rsid w:val="004A47AA"/>
    <w:rsid w:val="004A483A"/>
    <w:rsid w:val="004A50FD"/>
    <w:rsid w:val="004A5F84"/>
    <w:rsid w:val="004A7213"/>
    <w:rsid w:val="004B2F57"/>
    <w:rsid w:val="004B6FB8"/>
    <w:rsid w:val="004B7EDD"/>
    <w:rsid w:val="004C0FE6"/>
    <w:rsid w:val="004C2647"/>
    <w:rsid w:val="004C3A00"/>
    <w:rsid w:val="004D0938"/>
    <w:rsid w:val="004D0ED7"/>
    <w:rsid w:val="004D10CB"/>
    <w:rsid w:val="004D1965"/>
    <w:rsid w:val="004D1ABB"/>
    <w:rsid w:val="004D2AA9"/>
    <w:rsid w:val="004D3CF2"/>
    <w:rsid w:val="004D7431"/>
    <w:rsid w:val="004E1CF6"/>
    <w:rsid w:val="004E3186"/>
    <w:rsid w:val="004E3CC2"/>
    <w:rsid w:val="004E3D1A"/>
    <w:rsid w:val="004E4176"/>
    <w:rsid w:val="004E53ED"/>
    <w:rsid w:val="004F2067"/>
    <w:rsid w:val="004F3A2A"/>
    <w:rsid w:val="00500026"/>
    <w:rsid w:val="00500AF8"/>
    <w:rsid w:val="005022A0"/>
    <w:rsid w:val="00502D21"/>
    <w:rsid w:val="00504C5F"/>
    <w:rsid w:val="0051081E"/>
    <w:rsid w:val="005111F3"/>
    <w:rsid w:val="00511E14"/>
    <w:rsid w:val="0051543C"/>
    <w:rsid w:val="005163BF"/>
    <w:rsid w:val="005170FA"/>
    <w:rsid w:val="00517D8E"/>
    <w:rsid w:val="00521D1D"/>
    <w:rsid w:val="00525141"/>
    <w:rsid w:val="005309C2"/>
    <w:rsid w:val="0053380C"/>
    <w:rsid w:val="005356A1"/>
    <w:rsid w:val="00540355"/>
    <w:rsid w:val="0054100B"/>
    <w:rsid w:val="00542BE7"/>
    <w:rsid w:val="00543BFA"/>
    <w:rsid w:val="005469DF"/>
    <w:rsid w:val="005471BF"/>
    <w:rsid w:val="00552832"/>
    <w:rsid w:val="0055337E"/>
    <w:rsid w:val="00553BED"/>
    <w:rsid w:val="00554409"/>
    <w:rsid w:val="00560CE9"/>
    <w:rsid w:val="005614CD"/>
    <w:rsid w:val="0056220D"/>
    <w:rsid w:val="0056220E"/>
    <w:rsid w:val="00565FDD"/>
    <w:rsid w:val="00566605"/>
    <w:rsid w:val="005712BB"/>
    <w:rsid w:val="00573041"/>
    <w:rsid w:val="005758F1"/>
    <w:rsid w:val="00575E8D"/>
    <w:rsid w:val="00576360"/>
    <w:rsid w:val="005770A9"/>
    <w:rsid w:val="005804B8"/>
    <w:rsid w:val="00583318"/>
    <w:rsid w:val="00585C7B"/>
    <w:rsid w:val="00593C04"/>
    <w:rsid w:val="005946EF"/>
    <w:rsid w:val="00595B0D"/>
    <w:rsid w:val="00595C75"/>
    <w:rsid w:val="005961ED"/>
    <w:rsid w:val="005A04BC"/>
    <w:rsid w:val="005A0945"/>
    <w:rsid w:val="005A19AB"/>
    <w:rsid w:val="005A1CE8"/>
    <w:rsid w:val="005A2251"/>
    <w:rsid w:val="005A3C2B"/>
    <w:rsid w:val="005A41EC"/>
    <w:rsid w:val="005A4681"/>
    <w:rsid w:val="005A5670"/>
    <w:rsid w:val="005A66AD"/>
    <w:rsid w:val="005A6FE2"/>
    <w:rsid w:val="005B1231"/>
    <w:rsid w:val="005B15D1"/>
    <w:rsid w:val="005B311D"/>
    <w:rsid w:val="005B52C3"/>
    <w:rsid w:val="005C7337"/>
    <w:rsid w:val="005D19C5"/>
    <w:rsid w:val="005D7E87"/>
    <w:rsid w:val="005E0005"/>
    <w:rsid w:val="005E1E4D"/>
    <w:rsid w:val="005E204F"/>
    <w:rsid w:val="005E2ACE"/>
    <w:rsid w:val="005E6142"/>
    <w:rsid w:val="005E6EFE"/>
    <w:rsid w:val="005E76AE"/>
    <w:rsid w:val="005F1C2E"/>
    <w:rsid w:val="005F70A1"/>
    <w:rsid w:val="0060087A"/>
    <w:rsid w:val="00605826"/>
    <w:rsid w:val="00605CAD"/>
    <w:rsid w:val="00611B4F"/>
    <w:rsid w:val="00622DC0"/>
    <w:rsid w:val="006237B6"/>
    <w:rsid w:val="00624007"/>
    <w:rsid w:val="00625217"/>
    <w:rsid w:val="0062528A"/>
    <w:rsid w:val="00626604"/>
    <w:rsid w:val="0062739C"/>
    <w:rsid w:val="0063195B"/>
    <w:rsid w:val="00632FBE"/>
    <w:rsid w:val="00637706"/>
    <w:rsid w:val="00642E57"/>
    <w:rsid w:val="00647071"/>
    <w:rsid w:val="006511F8"/>
    <w:rsid w:val="00651495"/>
    <w:rsid w:val="0065228E"/>
    <w:rsid w:val="006551D5"/>
    <w:rsid w:val="00655B50"/>
    <w:rsid w:val="00660F3B"/>
    <w:rsid w:val="0066296D"/>
    <w:rsid w:val="00663000"/>
    <w:rsid w:val="006645DE"/>
    <w:rsid w:val="006676F1"/>
    <w:rsid w:val="0067067D"/>
    <w:rsid w:val="00670B34"/>
    <w:rsid w:val="00672D8A"/>
    <w:rsid w:val="00672DA7"/>
    <w:rsid w:val="00673F97"/>
    <w:rsid w:val="00674541"/>
    <w:rsid w:val="0067633F"/>
    <w:rsid w:val="006768C1"/>
    <w:rsid w:val="00684D76"/>
    <w:rsid w:val="00686649"/>
    <w:rsid w:val="006874C7"/>
    <w:rsid w:val="00690092"/>
    <w:rsid w:val="006922D6"/>
    <w:rsid w:val="00692746"/>
    <w:rsid w:val="006931B3"/>
    <w:rsid w:val="00695680"/>
    <w:rsid w:val="006962A4"/>
    <w:rsid w:val="006A1ABB"/>
    <w:rsid w:val="006A60A2"/>
    <w:rsid w:val="006B3D9E"/>
    <w:rsid w:val="006B4802"/>
    <w:rsid w:val="006B4CA7"/>
    <w:rsid w:val="006C0951"/>
    <w:rsid w:val="006C2D2B"/>
    <w:rsid w:val="006C2FFF"/>
    <w:rsid w:val="006C3F4E"/>
    <w:rsid w:val="006C4E1E"/>
    <w:rsid w:val="006C53E1"/>
    <w:rsid w:val="006C619D"/>
    <w:rsid w:val="006D1D02"/>
    <w:rsid w:val="006D271D"/>
    <w:rsid w:val="006D27D6"/>
    <w:rsid w:val="006D297C"/>
    <w:rsid w:val="006D5276"/>
    <w:rsid w:val="006E0DBA"/>
    <w:rsid w:val="006E3A25"/>
    <w:rsid w:val="006E5201"/>
    <w:rsid w:val="006E7E75"/>
    <w:rsid w:val="006F0A55"/>
    <w:rsid w:val="006F0E41"/>
    <w:rsid w:val="006F4E08"/>
    <w:rsid w:val="006F6C94"/>
    <w:rsid w:val="00700E6B"/>
    <w:rsid w:val="00701359"/>
    <w:rsid w:val="007023EA"/>
    <w:rsid w:val="007051D3"/>
    <w:rsid w:val="00707539"/>
    <w:rsid w:val="00710CD7"/>
    <w:rsid w:val="0071277E"/>
    <w:rsid w:val="0071627A"/>
    <w:rsid w:val="007163BD"/>
    <w:rsid w:val="0071690F"/>
    <w:rsid w:val="00721DA1"/>
    <w:rsid w:val="0072254B"/>
    <w:rsid w:val="007236A8"/>
    <w:rsid w:val="007237AA"/>
    <w:rsid w:val="007245FB"/>
    <w:rsid w:val="0072719E"/>
    <w:rsid w:val="00727A05"/>
    <w:rsid w:val="00730C93"/>
    <w:rsid w:val="00731881"/>
    <w:rsid w:val="00731E38"/>
    <w:rsid w:val="00735C3D"/>
    <w:rsid w:val="00736562"/>
    <w:rsid w:val="00737309"/>
    <w:rsid w:val="00737D55"/>
    <w:rsid w:val="007408C1"/>
    <w:rsid w:val="007412C5"/>
    <w:rsid w:val="0074428F"/>
    <w:rsid w:val="007444EF"/>
    <w:rsid w:val="0074479A"/>
    <w:rsid w:val="0074564F"/>
    <w:rsid w:val="00747CEF"/>
    <w:rsid w:val="00747FF5"/>
    <w:rsid w:val="00750AFC"/>
    <w:rsid w:val="00753279"/>
    <w:rsid w:val="00755F24"/>
    <w:rsid w:val="00757E41"/>
    <w:rsid w:val="00762A37"/>
    <w:rsid w:val="00763695"/>
    <w:rsid w:val="007703C9"/>
    <w:rsid w:val="0077058E"/>
    <w:rsid w:val="0077185B"/>
    <w:rsid w:val="00773F1F"/>
    <w:rsid w:val="00774314"/>
    <w:rsid w:val="00775C7F"/>
    <w:rsid w:val="00776B0C"/>
    <w:rsid w:val="007811C2"/>
    <w:rsid w:val="0078160B"/>
    <w:rsid w:val="00781A74"/>
    <w:rsid w:val="00781E37"/>
    <w:rsid w:val="00784428"/>
    <w:rsid w:val="007846FA"/>
    <w:rsid w:val="00784755"/>
    <w:rsid w:val="00786161"/>
    <w:rsid w:val="0078655A"/>
    <w:rsid w:val="00790376"/>
    <w:rsid w:val="007904B2"/>
    <w:rsid w:val="00797FBB"/>
    <w:rsid w:val="007A0F2F"/>
    <w:rsid w:val="007A1721"/>
    <w:rsid w:val="007A19FB"/>
    <w:rsid w:val="007A2625"/>
    <w:rsid w:val="007A4856"/>
    <w:rsid w:val="007A5D0D"/>
    <w:rsid w:val="007A68E1"/>
    <w:rsid w:val="007B0E7E"/>
    <w:rsid w:val="007B3E9C"/>
    <w:rsid w:val="007B49C9"/>
    <w:rsid w:val="007B65C7"/>
    <w:rsid w:val="007C0057"/>
    <w:rsid w:val="007C0702"/>
    <w:rsid w:val="007C11EF"/>
    <w:rsid w:val="007C181D"/>
    <w:rsid w:val="007C7417"/>
    <w:rsid w:val="007D0D88"/>
    <w:rsid w:val="007E2E46"/>
    <w:rsid w:val="007E4029"/>
    <w:rsid w:val="007E41CC"/>
    <w:rsid w:val="007E4700"/>
    <w:rsid w:val="007E58E8"/>
    <w:rsid w:val="007E6962"/>
    <w:rsid w:val="007F3AFF"/>
    <w:rsid w:val="007F4F88"/>
    <w:rsid w:val="00802E16"/>
    <w:rsid w:val="00802E70"/>
    <w:rsid w:val="00803527"/>
    <w:rsid w:val="00804155"/>
    <w:rsid w:val="008068DA"/>
    <w:rsid w:val="008114A9"/>
    <w:rsid w:val="008126C4"/>
    <w:rsid w:val="00812A8F"/>
    <w:rsid w:val="0081306E"/>
    <w:rsid w:val="0081418C"/>
    <w:rsid w:val="008142A0"/>
    <w:rsid w:val="008146A5"/>
    <w:rsid w:val="00814C80"/>
    <w:rsid w:val="0081607F"/>
    <w:rsid w:val="008171A1"/>
    <w:rsid w:val="00820721"/>
    <w:rsid w:val="00820E7C"/>
    <w:rsid w:val="00821100"/>
    <w:rsid w:val="0082386B"/>
    <w:rsid w:val="008261BF"/>
    <w:rsid w:val="0083165D"/>
    <w:rsid w:val="00836AC8"/>
    <w:rsid w:val="00837B06"/>
    <w:rsid w:val="00841D56"/>
    <w:rsid w:val="008421AC"/>
    <w:rsid w:val="0084362B"/>
    <w:rsid w:val="00844413"/>
    <w:rsid w:val="00844DC9"/>
    <w:rsid w:val="00850E7C"/>
    <w:rsid w:val="0085213D"/>
    <w:rsid w:val="00861208"/>
    <w:rsid w:val="00861BD5"/>
    <w:rsid w:val="0086256E"/>
    <w:rsid w:val="008640BD"/>
    <w:rsid w:val="00864852"/>
    <w:rsid w:val="00871589"/>
    <w:rsid w:val="00871739"/>
    <w:rsid w:val="00871854"/>
    <w:rsid w:val="008757C8"/>
    <w:rsid w:val="00875C98"/>
    <w:rsid w:val="0087662A"/>
    <w:rsid w:val="00880C0F"/>
    <w:rsid w:val="00882196"/>
    <w:rsid w:val="00882983"/>
    <w:rsid w:val="00882F19"/>
    <w:rsid w:val="008834CF"/>
    <w:rsid w:val="00891F65"/>
    <w:rsid w:val="008945C8"/>
    <w:rsid w:val="008974E7"/>
    <w:rsid w:val="008A0598"/>
    <w:rsid w:val="008A0AA0"/>
    <w:rsid w:val="008A29D6"/>
    <w:rsid w:val="008A399C"/>
    <w:rsid w:val="008A4453"/>
    <w:rsid w:val="008A5382"/>
    <w:rsid w:val="008B481A"/>
    <w:rsid w:val="008B7CA8"/>
    <w:rsid w:val="008C1444"/>
    <w:rsid w:val="008C36A6"/>
    <w:rsid w:val="008C67D3"/>
    <w:rsid w:val="008C720A"/>
    <w:rsid w:val="008D0CC4"/>
    <w:rsid w:val="008D118F"/>
    <w:rsid w:val="008D2A11"/>
    <w:rsid w:val="008D3537"/>
    <w:rsid w:val="008D36EA"/>
    <w:rsid w:val="008D38D3"/>
    <w:rsid w:val="008D4C6E"/>
    <w:rsid w:val="008D52C6"/>
    <w:rsid w:val="008D5C26"/>
    <w:rsid w:val="008E06A1"/>
    <w:rsid w:val="008E454B"/>
    <w:rsid w:val="008E4975"/>
    <w:rsid w:val="008E51DE"/>
    <w:rsid w:val="008E5874"/>
    <w:rsid w:val="008F141F"/>
    <w:rsid w:val="008F183B"/>
    <w:rsid w:val="008F1893"/>
    <w:rsid w:val="008F3D46"/>
    <w:rsid w:val="008F44F6"/>
    <w:rsid w:val="008F5DE8"/>
    <w:rsid w:val="008F6AAB"/>
    <w:rsid w:val="008F70F3"/>
    <w:rsid w:val="008F7969"/>
    <w:rsid w:val="00900BF6"/>
    <w:rsid w:val="00901A58"/>
    <w:rsid w:val="0090308A"/>
    <w:rsid w:val="00904F92"/>
    <w:rsid w:val="00905849"/>
    <w:rsid w:val="00905F06"/>
    <w:rsid w:val="00907A49"/>
    <w:rsid w:val="00913973"/>
    <w:rsid w:val="009147E7"/>
    <w:rsid w:val="009164AE"/>
    <w:rsid w:val="00916C8A"/>
    <w:rsid w:val="00916D02"/>
    <w:rsid w:val="00917C37"/>
    <w:rsid w:val="00920465"/>
    <w:rsid w:val="00920993"/>
    <w:rsid w:val="00924E67"/>
    <w:rsid w:val="0093112D"/>
    <w:rsid w:val="0093138E"/>
    <w:rsid w:val="009327AF"/>
    <w:rsid w:val="00932F7F"/>
    <w:rsid w:val="00933F72"/>
    <w:rsid w:val="00935E37"/>
    <w:rsid w:val="00941619"/>
    <w:rsid w:val="00942CC8"/>
    <w:rsid w:val="00952E7A"/>
    <w:rsid w:val="009539E6"/>
    <w:rsid w:val="00953A16"/>
    <w:rsid w:val="00954B94"/>
    <w:rsid w:val="009561AC"/>
    <w:rsid w:val="00966859"/>
    <w:rsid w:val="00967B91"/>
    <w:rsid w:val="00970EB9"/>
    <w:rsid w:val="00970F7A"/>
    <w:rsid w:val="0097138A"/>
    <w:rsid w:val="0097160E"/>
    <w:rsid w:val="00972135"/>
    <w:rsid w:val="009745DB"/>
    <w:rsid w:val="00974F02"/>
    <w:rsid w:val="0098045E"/>
    <w:rsid w:val="00980D0C"/>
    <w:rsid w:val="009833BD"/>
    <w:rsid w:val="0098574E"/>
    <w:rsid w:val="0098784C"/>
    <w:rsid w:val="009933AC"/>
    <w:rsid w:val="00994227"/>
    <w:rsid w:val="009A135F"/>
    <w:rsid w:val="009A1599"/>
    <w:rsid w:val="009A1A62"/>
    <w:rsid w:val="009A2475"/>
    <w:rsid w:val="009A58D5"/>
    <w:rsid w:val="009B3A0B"/>
    <w:rsid w:val="009B521F"/>
    <w:rsid w:val="009B793C"/>
    <w:rsid w:val="009C3E68"/>
    <w:rsid w:val="009C526B"/>
    <w:rsid w:val="009D04DF"/>
    <w:rsid w:val="009D0866"/>
    <w:rsid w:val="009D1F0F"/>
    <w:rsid w:val="009D20EB"/>
    <w:rsid w:val="009D388E"/>
    <w:rsid w:val="009D4966"/>
    <w:rsid w:val="009D4CF9"/>
    <w:rsid w:val="009D5601"/>
    <w:rsid w:val="009E0F7C"/>
    <w:rsid w:val="009E1599"/>
    <w:rsid w:val="009E4A4F"/>
    <w:rsid w:val="009E6021"/>
    <w:rsid w:val="009E6800"/>
    <w:rsid w:val="009E7BDA"/>
    <w:rsid w:val="009F1834"/>
    <w:rsid w:val="009F7BDB"/>
    <w:rsid w:val="00A014EF"/>
    <w:rsid w:val="00A05D20"/>
    <w:rsid w:val="00A063AF"/>
    <w:rsid w:val="00A11369"/>
    <w:rsid w:val="00A11427"/>
    <w:rsid w:val="00A155F4"/>
    <w:rsid w:val="00A1612D"/>
    <w:rsid w:val="00A21DE6"/>
    <w:rsid w:val="00A22053"/>
    <w:rsid w:val="00A27E4F"/>
    <w:rsid w:val="00A325B4"/>
    <w:rsid w:val="00A3697A"/>
    <w:rsid w:val="00A43F87"/>
    <w:rsid w:val="00A4626F"/>
    <w:rsid w:val="00A4639E"/>
    <w:rsid w:val="00A53727"/>
    <w:rsid w:val="00A5787A"/>
    <w:rsid w:val="00A60DAD"/>
    <w:rsid w:val="00A61113"/>
    <w:rsid w:val="00A61EC5"/>
    <w:rsid w:val="00A628F6"/>
    <w:rsid w:val="00A72439"/>
    <w:rsid w:val="00A75DEB"/>
    <w:rsid w:val="00A76F9F"/>
    <w:rsid w:val="00A82E9F"/>
    <w:rsid w:val="00A83147"/>
    <w:rsid w:val="00A87676"/>
    <w:rsid w:val="00A87C05"/>
    <w:rsid w:val="00A9166B"/>
    <w:rsid w:val="00A92137"/>
    <w:rsid w:val="00A93788"/>
    <w:rsid w:val="00A94F95"/>
    <w:rsid w:val="00AA135C"/>
    <w:rsid w:val="00AA25AA"/>
    <w:rsid w:val="00AA343B"/>
    <w:rsid w:val="00AB0F0D"/>
    <w:rsid w:val="00AB1927"/>
    <w:rsid w:val="00AB325B"/>
    <w:rsid w:val="00AB3A08"/>
    <w:rsid w:val="00AB4C8B"/>
    <w:rsid w:val="00AB5558"/>
    <w:rsid w:val="00AC2662"/>
    <w:rsid w:val="00AC3336"/>
    <w:rsid w:val="00AC5ED7"/>
    <w:rsid w:val="00AD0568"/>
    <w:rsid w:val="00AD160B"/>
    <w:rsid w:val="00AD3749"/>
    <w:rsid w:val="00AD475B"/>
    <w:rsid w:val="00AD50A7"/>
    <w:rsid w:val="00AD6032"/>
    <w:rsid w:val="00AE0985"/>
    <w:rsid w:val="00AE14AB"/>
    <w:rsid w:val="00AE1CCC"/>
    <w:rsid w:val="00AE28DA"/>
    <w:rsid w:val="00AE28E5"/>
    <w:rsid w:val="00AE2B52"/>
    <w:rsid w:val="00AF6784"/>
    <w:rsid w:val="00AF6FE4"/>
    <w:rsid w:val="00AF7127"/>
    <w:rsid w:val="00B013B9"/>
    <w:rsid w:val="00B036A2"/>
    <w:rsid w:val="00B05F53"/>
    <w:rsid w:val="00B070C5"/>
    <w:rsid w:val="00B1056D"/>
    <w:rsid w:val="00B10631"/>
    <w:rsid w:val="00B11863"/>
    <w:rsid w:val="00B127FF"/>
    <w:rsid w:val="00B12864"/>
    <w:rsid w:val="00B13DB0"/>
    <w:rsid w:val="00B141A1"/>
    <w:rsid w:val="00B20A1A"/>
    <w:rsid w:val="00B238EA"/>
    <w:rsid w:val="00B247D2"/>
    <w:rsid w:val="00B2561C"/>
    <w:rsid w:val="00B25D55"/>
    <w:rsid w:val="00B27282"/>
    <w:rsid w:val="00B32DD4"/>
    <w:rsid w:val="00B35306"/>
    <w:rsid w:val="00B3530E"/>
    <w:rsid w:val="00B35B90"/>
    <w:rsid w:val="00B35F19"/>
    <w:rsid w:val="00B360D4"/>
    <w:rsid w:val="00B3707B"/>
    <w:rsid w:val="00B3720F"/>
    <w:rsid w:val="00B425E9"/>
    <w:rsid w:val="00B4425F"/>
    <w:rsid w:val="00B45779"/>
    <w:rsid w:val="00B47657"/>
    <w:rsid w:val="00B47AFB"/>
    <w:rsid w:val="00B52DAB"/>
    <w:rsid w:val="00B57710"/>
    <w:rsid w:val="00B57DE5"/>
    <w:rsid w:val="00B60CA0"/>
    <w:rsid w:val="00B671CD"/>
    <w:rsid w:val="00B67505"/>
    <w:rsid w:val="00B70247"/>
    <w:rsid w:val="00B72F40"/>
    <w:rsid w:val="00B75E47"/>
    <w:rsid w:val="00B770C1"/>
    <w:rsid w:val="00B92831"/>
    <w:rsid w:val="00B92854"/>
    <w:rsid w:val="00B962F6"/>
    <w:rsid w:val="00B96C13"/>
    <w:rsid w:val="00BA35AA"/>
    <w:rsid w:val="00BA41B3"/>
    <w:rsid w:val="00BA58D8"/>
    <w:rsid w:val="00BA59B1"/>
    <w:rsid w:val="00BA631D"/>
    <w:rsid w:val="00BB0A39"/>
    <w:rsid w:val="00BB1322"/>
    <w:rsid w:val="00BB1F3C"/>
    <w:rsid w:val="00BB3462"/>
    <w:rsid w:val="00BB5A12"/>
    <w:rsid w:val="00BB6ED7"/>
    <w:rsid w:val="00BB775B"/>
    <w:rsid w:val="00BC0383"/>
    <w:rsid w:val="00BC3586"/>
    <w:rsid w:val="00BC35E8"/>
    <w:rsid w:val="00BC381B"/>
    <w:rsid w:val="00BC4518"/>
    <w:rsid w:val="00BC581A"/>
    <w:rsid w:val="00BD13CD"/>
    <w:rsid w:val="00BD2115"/>
    <w:rsid w:val="00BD22D1"/>
    <w:rsid w:val="00BD488B"/>
    <w:rsid w:val="00BE06E5"/>
    <w:rsid w:val="00BE2424"/>
    <w:rsid w:val="00BE33FC"/>
    <w:rsid w:val="00BE4F62"/>
    <w:rsid w:val="00BE5383"/>
    <w:rsid w:val="00BE7DCE"/>
    <w:rsid w:val="00BF0D9B"/>
    <w:rsid w:val="00BF57F2"/>
    <w:rsid w:val="00BF7EF7"/>
    <w:rsid w:val="00C005A6"/>
    <w:rsid w:val="00C0259B"/>
    <w:rsid w:val="00C03F55"/>
    <w:rsid w:val="00C047EA"/>
    <w:rsid w:val="00C04E4A"/>
    <w:rsid w:val="00C05C5C"/>
    <w:rsid w:val="00C1000E"/>
    <w:rsid w:val="00C115C1"/>
    <w:rsid w:val="00C1307F"/>
    <w:rsid w:val="00C13FA6"/>
    <w:rsid w:val="00C14A4F"/>
    <w:rsid w:val="00C15E69"/>
    <w:rsid w:val="00C17342"/>
    <w:rsid w:val="00C20852"/>
    <w:rsid w:val="00C241BE"/>
    <w:rsid w:val="00C2448D"/>
    <w:rsid w:val="00C27FDB"/>
    <w:rsid w:val="00C31E18"/>
    <w:rsid w:val="00C32EDE"/>
    <w:rsid w:val="00C33ED1"/>
    <w:rsid w:val="00C345EA"/>
    <w:rsid w:val="00C34E48"/>
    <w:rsid w:val="00C40466"/>
    <w:rsid w:val="00C413D4"/>
    <w:rsid w:val="00C455DE"/>
    <w:rsid w:val="00C45D8F"/>
    <w:rsid w:val="00C473F5"/>
    <w:rsid w:val="00C5154A"/>
    <w:rsid w:val="00C52E06"/>
    <w:rsid w:val="00C53BA1"/>
    <w:rsid w:val="00C60376"/>
    <w:rsid w:val="00C60488"/>
    <w:rsid w:val="00C618DD"/>
    <w:rsid w:val="00C635BC"/>
    <w:rsid w:val="00C64305"/>
    <w:rsid w:val="00C65181"/>
    <w:rsid w:val="00C660CF"/>
    <w:rsid w:val="00C719D7"/>
    <w:rsid w:val="00C83087"/>
    <w:rsid w:val="00C858E2"/>
    <w:rsid w:val="00C86F8C"/>
    <w:rsid w:val="00C9052A"/>
    <w:rsid w:val="00C93AEF"/>
    <w:rsid w:val="00C93F71"/>
    <w:rsid w:val="00C94A55"/>
    <w:rsid w:val="00C95CF5"/>
    <w:rsid w:val="00C965DC"/>
    <w:rsid w:val="00CA00CF"/>
    <w:rsid w:val="00CA0716"/>
    <w:rsid w:val="00CA4C9C"/>
    <w:rsid w:val="00CA7105"/>
    <w:rsid w:val="00CA7F82"/>
    <w:rsid w:val="00CB0CA2"/>
    <w:rsid w:val="00CB23BF"/>
    <w:rsid w:val="00CB2D7D"/>
    <w:rsid w:val="00CB4B97"/>
    <w:rsid w:val="00CB7438"/>
    <w:rsid w:val="00CC1E20"/>
    <w:rsid w:val="00CC565F"/>
    <w:rsid w:val="00CC779C"/>
    <w:rsid w:val="00CD3E26"/>
    <w:rsid w:val="00CD4D88"/>
    <w:rsid w:val="00CD5242"/>
    <w:rsid w:val="00CD5AE7"/>
    <w:rsid w:val="00CE0C9B"/>
    <w:rsid w:val="00CE1D06"/>
    <w:rsid w:val="00CE301F"/>
    <w:rsid w:val="00CE5EF3"/>
    <w:rsid w:val="00CF01BC"/>
    <w:rsid w:val="00CF0839"/>
    <w:rsid w:val="00CF3CF3"/>
    <w:rsid w:val="00CF3D00"/>
    <w:rsid w:val="00CF7305"/>
    <w:rsid w:val="00D01384"/>
    <w:rsid w:val="00D02390"/>
    <w:rsid w:val="00D03AEF"/>
    <w:rsid w:val="00D059D6"/>
    <w:rsid w:val="00D068CF"/>
    <w:rsid w:val="00D107AA"/>
    <w:rsid w:val="00D10B97"/>
    <w:rsid w:val="00D137DC"/>
    <w:rsid w:val="00D161BE"/>
    <w:rsid w:val="00D21883"/>
    <w:rsid w:val="00D222C6"/>
    <w:rsid w:val="00D22AC1"/>
    <w:rsid w:val="00D2327B"/>
    <w:rsid w:val="00D24821"/>
    <w:rsid w:val="00D24F75"/>
    <w:rsid w:val="00D24FDF"/>
    <w:rsid w:val="00D262A9"/>
    <w:rsid w:val="00D2714C"/>
    <w:rsid w:val="00D27470"/>
    <w:rsid w:val="00D31D0D"/>
    <w:rsid w:val="00D32C1A"/>
    <w:rsid w:val="00D37902"/>
    <w:rsid w:val="00D40EF1"/>
    <w:rsid w:val="00D410D3"/>
    <w:rsid w:val="00D42E36"/>
    <w:rsid w:val="00D430A1"/>
    <w:rsid w:val="00D45720"/>
    <w:rsid w:val="00D465B1"/>
    <w:rsid w:val="00D4781F"/>
    <w:rsid w:val="00D53F58"/>
    <w:rsid w:val="00D55366"/>
    <w:rsid w:val="00D55409"/>
    <w:rsid w:val="00D57A48"/>
    <w:rsid w:val="00D57D66"/>
    <w:rsid w:val="00D614F5"/>
    <w:rsid w:val="00D632DE"/>
    <w:rsid w:val="00D6574C"/>
    <w:rsid w:val="00D72297"/>
    <w:rsid w:val="00D74F69"/>
    <w:rsid w:val="00D77541"/>
    <w:rsid w:val="00D7754E"/>
    <w:rsid w:val="00D80004"/>
    <w:rsid w:val="00D804CE"/>
    <w:rsid w:val="00D8261C"/>
    <w:rsid w:val="00D84CBC"/>
    <w:rsid w:val="00D84D1E"/>
    <w:rsid w:val="00D86819"/>
    <w:rsid w:val="00D87258"/>
    <w:rsid w:val="00D95715"/>
    <w:rsid w:val="00D96D11"/>
    <w:rsid w:val="00DA05E2"/>
    <w:rsid w:val="00DA0C7C"/>
    <w:rsid w:val="00DA1702"/>
    <w:rsid w:val="00DA3544"/>
    <w:rsid w:val="00DA49F4"/>
    <w:rsid w:val="00DA4CDB"/>
    <w:rsid w:val="00DA537F"/>
    <w:rsid w:val="00DB2642"/>
    <w:rsid w:val="00DB28F1"/>
    <w:rsid w:val="00DB2EE7"/>
    <w:rsid w:val="00DB2EE9"/>
    <w:rsid w:val="00DB4DD0"/>
    <w:rsid w:val="00DB68AF"/>
    <w:rsid w:val="00DC0B49"/>
    <w:rsid w:val="00DC16F6"/>
    <w:rsid w:val="00DC75D1"/>
    <w:rsid w:val="00DC7AF4"/>
    <w:rsid w:val="00DD0A6C"/>
    <w:rsid w:val="00DD50B7"/>
    <w:rsid w:val="00DD77FE"/>
    <w:rsid w:val="00DE06E5"/>
    <w:rsid w:val="00DE0FC1"/>
    <w:rsid w:val="00DE1C92"/>
    <w:rsid w:val="00DE3985"/>
    <w:rsid w:val="00DF32C8"/>
    <w:rsid w:val="00DF53E2"/>
    <w:rsid w:val="00DF570F"/>
    <w:rsid w:val="00DF7AE8"/>
    <w:rsid w:val="00DF7D38"/>
    <w:rsid w:val="00E0138D"/>
    <w:rsid w:val="00E02CD3"/>
    <w:rsid w:val="00E0369C"/>
    <w:rsid w:val="00E044C3"/>
    <w:rsid w:val="00E04E14"/>
    <w:rsid w:val="00E0600B"/>
    <w:rsid w:val="00E111F1"/>
    <w:rsid w:val="00E12850"/>
    <w:rsid w:val="00E1639F"/>
    <w:rsid w:val="00E16D02"/>
    <w:rsid w:val="00E17CAE"/>
    <w:rsid w:val="00E229D1"/>
    <w:rsid w:val="00E23418"/>
    <w:rsid w:val="00E23548"/>
    <w:rsid w:val="00E24D64"/>
    <w:rsid w:val="00E25B45"/>
    <w:rsid w:val="00E25FF1"/>
    <w:rsid w:val="00E2748A"/>
    <w:rsid w:val="00E3526F"/>
    <w:rsid w:val="00E369EB"/>
    <w:rsid w:val="00E37F63"/>
    <w:rsid w:val="00E40094"/>
    <w:rsid w:val="00E40727"/>
    <w:rsid w:val="00E41938"/>
    <w:rsid w:val="00E42295"/>
    <w:rsid w:val="00E425B0"/>
    <w:rsid w:val="00E42CE3"/>
    <w:rsid w:val="00E43930"/>
    <w:rsid w:val="00E45B1E"/>
    <w:rsid w:val="00E500F2"/>
    <w:rsid w:val="00E51DD4"/>
    <w:rsid w:val="00E5251F"/>
    <w:rsid w:val="00E527AA"/>
    <w:rsid w:val="00E53BB9"/>
    <w:rsid w:val="00E53D6F"/>
    <w:rsid w:val="00E5406F"/>
    <w:rsid w:val="00E556EB"/>
    <w:rsid w:val="00E6234A"/>
    <w:rsid w:val="00E64104"/>
    <w:rsid w:val="00E703CA"/>
    <w:rsid w:val="00E70643"/>
    <w:rsid w:val="00E7227F"/>
    <w:rsid w:val="00E73101"/>
    <w:rsid w:val="00E81841"/>
    <w:rsid w:val="00E85F4A"/>
    <w:rsid w:val="00E87A75"/>
    <w:rsid w:val="00E9049B"/>
    <w:rsid w:val="00E90613"/>
    <w:rsid w:val="00E91226"/>
    <w:rsid w:val="00E9224D"/>
    <w:rsid w:val="00E9579C"/>
    <w:rsid w:val="00E9623B"/>
    <w:rsid w:val="00E964E0"/>
    <w:rsid w:val="00E97454"/>
    <w:rsid w:val="00EA0039"/>
    <w:rsid w:val="00EA283D"/>
    <w:rsid w:val="00EA49EC"/>
    <w:rsid w:val="00EA59E6"/>
    <w:rsid w:val="00EB1EE1"/>
    <w:rsid w:val="00EB2740"/>
    <w:rsid w:val="00EB460B"/>
    <w:rsid w:val="00EB4C97"/>
    <w:rsid w:val="00EC1318"/>
    <w:rsid w:val="00EC1EC9"/>
    <w:rsid w:val="00EC25FD"/>
    <w:rsid w:val="00EC3151"/>
    <w:rsid w:val="00EC3288"/>
    <w:rsid w:val="00EC34DB"/>
    <w:rsid w:val="00EC40D0"/>
    <w:rsid w:val="00EC4899"/>
    <w:rsid w:val="00EC53FD"/>
    <w:rsid w:val="00EC58E3"/>
    <w:rsid w:val="00ED1364"/>
    <w:rsid w:val="00ED183A"/>
    <w:rsid w:val="00ED1926"/>
    <w:rsid w:val="00ED1BA2"/>
    <w:rsid w:val="00ED24E1"/>
    <w:rsid w:val="00ED3868"/>
    <w:rsid w:val="00ED39DA"/>
    <w:rsid w:val="00ED3C38"/>
    <w:rsid w:val="00ED3CE3"/>
    <w:rsid w:val="00EE1588"/>
    <w:rsid w:val="00EE24C7"/>
    <w:rsid w:val="00EE3603"/>
    <w:rsid w:val="00EE3C8C"/>
    <w:rsid w:val="00EE3F94"/>
    <w:rsid w:val="00EE4890"/>
    <w:rsid w:val="00EE6A37"/>
    <w:rsid w:val="00EE6D7B"/>
    <w:rsid w:val="00EE788F"/>
    <w:rsid w:val="00EF636D"/>
    <w:rsid w:val="00F00241"/>
    <w:rsid w:val="00F047C8"/>
    <w:rsid w:val="00F0739C"/>
    <w:rsid w:val="00F1078B"/>
    <w:rsid w:val="00F129C0"/>
    <w:rsid w:val="00F21DAE"/>
    <w:rsid w:val="00F22BB5"/>
    <w:rsid w:val="00F22EBB"/>
    <w:rsid w:val="00F23BE0"/>
    <w:rsid w:val="00F25BAE"/>
    <w:rsid w:val="00F265D3"/>
    <w:rsid w:val="00F26D10"/>
    <w:rsid w:val="00F27D62"/>
    <w:rsid w:val="00F338D5"/>
    <w:rsid w:val="00F34D3F"/>
    <w:rsid w:val="00F4023A"/>
    <w:rsid w:val="00F40458"/>
    <w:rsid w:val="00F426F5"/>
    <w:rsid w:val="00F43573"/>
    <w:rsid w:val="00F4638B"/>
    <w:rsid w:val="00F55ACB"/>
    <w:rsid w:val="00F570AA"/>
    <w:rsid w:val="00F60589"/>
    <w:rsid w:val="00F61168"/>
    <w:rsid w:val="00F63BE6"/>
    <w:rsid w:val="00F65CDF"/>
    <w:rsid w:val="00F65CEC"/>
    <w:rsid w:val="00F661B7"/>
    <w:rsid w:val="00F74C37"/>
    <w:rsid w:val="00F81E73"/>
    <w:rsid w:val="00F836E6"/>
    <w:rsid w:val="00F85CEF"/>
    <w:rsid w:val="00F86032"/>
    <w:rsid w:val="00F86C1C"/>
    <w:rsid w:val="00F90C6A"/>
    <w:rsid w:val="00F94453"/>
    <w:rsid w:val="00F95234"/>
    <w:rsid w:val="00F954C5"/>
    <w:rsid w:val="00F959A2"/>
    <w:rsid w:val="00F9654D"/>
    <w:rsid w:val="00FA060E"/>
    <w:rsid w:val="00FA29CD"/>
    <w:rsid w:val="00FA414D"/>
    <w:rsid w:val="00FA41C2"/>
    <w:rsid w:val="00FA7C67"/>
    <w:rsid w:val="00FB11F3"/>
    <w:rsid w:val="00FB27E8"/>
    <w:rsid w:val="00FB3D97"/>
    <w:rsid w:val="00FB5522"/>
    <w:rsid w:val="00FB6780"/>
    <w:rsid w:val="00FC0A69"/>
    <w:rsid w:val="00FC2DC0"/>
    <w:rsid w:val="00FC6225"/>
    <w:rsid w:val="00FC68C6"/>
    <w:rsid w:val="00FC71F9"/>
    <w:rsid w:val="00FD01FA"/>
    <w:rsid w:val="00FD0ED1"/>
    <w:rsid w:val="00FD7580"/>
    <w:rsid w:val="00FE1ABD"/>
    <w:rsid w:val="00FE3B4A"/>
    <w:rsid w:val="00FE3CF3"/>
    <w:rsid w:val="00FE661D"/>
    <w:rsid w:val="00FE7E64"/>
    <w:rsid w:val="13BB0A54"/>
    <w:rsid w:val="27FD1E8A"/>
    <w:rsid w:val="2DCFE39E"/>
    <w:rsid w:val="35E76CEE"/>
    <w:rsid w:val="37BFE509"/>
    <w:rsid w:val="38FFC2FE"/>
    <w:rsid w:val="3AA44159"/>
    <w:rsid w:val="3EFB82EF"/>
    <w:rsid w:val="3FFFC246"/>
    <w:rsid w:val="45C87E64"/>
    <w:rsid w:val="496D088B"/>
    <w:rsid w:val="4DF68A05"/>
    <w:rsid w:val="4F572082"/>
    <w:rsid w:val="543BF074"/>
    <w:rsid w:val="5B1A473F"/>
    <w:rsid w:val="5FFF169B"/>
    <w:rsid w:val="67BA4F15"/>
    <w:rsid w:val="67FBEC98"/>
    <w:rsid w:val="6D7A2B8D"/>
    <w:rsid w:val="75D20B1F"/>
    <w:rsid w:val="76F60EC7"/>
    <w:rsid w:val="777E6CF8"/>
    <w:rsid w:val="7E53749D"/>
    <w:rsid w:val="7EDB028F"/>
    <w:rsid w:val="7EFF50EE"/>
    <w:rsid w:val="7F932247"/>
    <w:rsid w:val="7FB727FD"/>
    <w:rsid w:val="7FDA4DFC"/>
    <w:rsid w:val="7FFC1391"/>
    <w:rsid w:val="877FA650"/>
    <w:rsid w:val="99FEA6DD"/>
    <w:rsid w:val="9DF87F87"/>
    <w:rsid w:val="AEBF89A6"/>
    <w:rsid w:val="C7F5B544"/>
    <w:rsid w:val="CFE7F1AD"/>
    <w:rsid w:val="D7CC2892"/>
    <w:rsid w:val="D7FABAA8"/>
    <w:rsid w:val="DA8DCBAF"/>
    <w:rsid w:val="DE11921D"/>
    <w:rsid w:val="DFD40267"/>
    <w:rsid w:val="E6B91A7F"/>
    <w:rsid w:val="E7F7C71B"/>
    <w:rsid w:val="EAF68048"/>
    <w:rsid w:val="EFD34975"/>
    <w:rsid w:val="F5EF0255"/>
    <w:rsid w:val="F7FE43A3"/>
    <w:rsid w:val="FD7754B1"/>
    <w:rsid w:val="FF57D954"/>
    <w:rsid w:val="FFAF5820"/>
    <w:rsid w:val="FFFDD83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semiHidden/>
    <w:unhideWhenUsed/>
    <w:qFormat/>
    <w:uiPriority w:val="0"/>
    <w:pPr>
      <w:spacing w:beforeAutospacing="1" w:afterAutospacing="1"/>
      <w:jc w:val="left"/>
      <w:outlineLvl w:val="1"/>
    </w:pPr>
    <w:rPr>
      <w:rFonts w:hint="eastAsia" w:ascii="宋体" w:hAnsi="宋体"/>
      <w:b/>
      <w:bCs/>
      <w:kern w:val="0"/>
      <w:sz w:val="36"/>
      <w:szCs w:val="36"/>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16"/>
    <w:qFormat/>
    <w:uiPriority w:val="0"/>
    <w:pPr>
      <w:jc w:val="left"/>
    </w:pPr>
  </w:style>
  <w:style w:type="paragraph" w:styleId="4">
    <w:name w:val="Balloon Text"/>
    <w:basedOn w:val="1"/>
    <w:link w:val="19"/>
    <w:qFormat/>
    <w:uiPriority w:val="0"/>
    <w:rPr>
      <w:sz w:val="18"/>
      <w:szCs w:val="18"/>
    </w:rPr>
  </w:style>
  <w:style w:type="paragraph" w:styleId="5">
    <w:name w:val="footer"/>
    <w:basedOn w:val="1"/>
    <w:link w:val="15"/>
    <w:qFormat/>
    <w:uiPriority w:val="99"/>
    <w:pPr>
      <w:tabs>
        <w:tab w:val="center" w:pos="4153"/>
        <w:tab w:val="right" w:pos="8306"/>
      </w:tabs>
      <w:snapToGrid w:val="0"/>
      <w:jc w:val="left"/>
    </w:pPr>
    <w:rPr>
      <w:sz w:val="18"/>
      <w:szCs w:val="18"/>
    </w:rPr>
  </w:style>
  <w:style w:type="paragraph" w:styleId="6">
    <w:name w:val="header"/>
    <w:basedOn w:val="1"/>
    <w:link w:val="14"/>
    <w:qFormat/>
    <w:uiPriority w:val="0"/>
    <w:pPr>
      <w:tabs>
        <w:tab w:val="center" w:pos="4153"/>
        <w:tab w:val="right" w:pos="8306"/>
      </w:tabs>
      <w:snapToGrid w:val="0"/>
      <w:jc w:val="center"/>
    </w:pPr>
    <w:rPr>
      <w:sz w:val="18"/>
      <w:szCs w:val="18"/>
    </w:rPr>
  </w:style>
  <w:style w:type="paragraph" w:styleId="7">
    <w:name w:val="Normal (Web)"/>
    <w:basedOn w:val="1"/>
    <w:qFormat/>
    <w:uiPriority w:val="99"/>
    <w:rPr>
      <w:sz w:val="24"/>
    </w:rPr>
  </w:style>
  <w:style w:type="paragraph" w:styleId="8">
    <w:name w:val="annotation subject"/>
    <w:basedOn w:val="3"/>
    <w:next w:val="3"/>
    <w:link w:val="17"/>
    <w:qFormat/>
    <w:uiPriority w:val="0"/>
    <w:rPr>
      <w:b/>
      <w:bCs/>
    </w:rPr>
  </w:style>
  <w:style w:type="character" w:styleId="11">
    <w:name w:val="annotation reference"/>
    <w:basedOn w:val="10"/>
    <w:qFormat/>
    <w:uiPriority w:val="0"/>
    <w:rPr>
      <w:sz w:val="21"/>
      <w:szCs w:val="21"/>
    </w:rPr>
  </w:style>
  <w:style w:type="character" w:customStyle="1" w:styleId="12">
    <w:name w:val="sect2title1"/>
    <w:basedOn w:val="10"/>
    <w:qFormat/>
    <w:uiPriority w:val="0"/>
    <w:rPr>
      <w:rFonts w:hint="eastAsia" w:ascii="微软雅黑" w:hAnsi="微软雅黑" w:eastAsia="微软雅黑"/>
      <w:b/>
      <w:bCs/>
      <w:sz w:val="21"/>
      <w:szCs w:val="21"/>
    </w:rPr>
  </w:style>
  <w:style w:type="paragraph" w:customStyle="1" w:styleId="13">
    <w:name w:val="修订1"/>
    <w:hidden/>
    <w:unhideWhenUsed/>
    <w:qFormat/>
    <w:uiPriority w:val="99"/>
    <w:rPr>
      <w:rFonts w:ascii="Calibri" w:hAnsi="Calibri" w:eastAsia="宋体" w:cs="Times New Roman"/>
      <w:kern w:val="2"/>
      <w:sz w:val="21"/>
      <w:szCs w:val="24"/>
      <w:lang w:val="en-US" w:eastAsia="zh-CN" w:bidi="ar-SA"/>
    </w:rPr>
  </w:style>
  <w:style w:type="character" w:customStyle="1" w:styleId="14">
    <w:name w:val="页眉 字符"/>
    <w:basedOn w:val="10"/>
    <w:link w:val="6"/>
    <w:qFormat/>
    <w:uiPriority w:val="0"/>
    <w:rPr>
      <w:rFonts w:ascii="Calibri" w:hAnsi="Calibri"/>
      <w:kern w:val="2"/>
      <w:sz w:val="18"/>
      <w:szCs w:val="18"/>
    </w:rPr>
  </w:style>
  <w:style w:type="character" w:customStyle="1" w:styleId="15">
    <w:name w:val="页脚 字符"/>
    <w:basedOn w:val="10"/>
    <w:link w:val="5"/>
    <w:qFormat/>
    <w:uiPriority w:val="99"/>
    <w:rPr>
      <w:rFonts w:ascii="Calibri" w:hAnsi="Calibri"/>
      <w:kern w:val="2"/>
      <w:sz w:val="18"/>
      <w:szCs w:val="18"/>
    </w:rPr>
  </w:style>
  <w:style w:type="character" w:customStyle="1" w:styleId="16">
    <w:name w:val="批注文字 字符"/>
    <w:basedOn w:val="10"/>
    <w:link w:val="3"/>
    <w:qFormat/>
    <w:uiPriority w:val="0"/>
    <w:rPr>
      <w:rFonts w:ascii="Calibri" w:hAnsi="Calibri"/>
      <w:kern w:val="2"/>
      <w:sz w:val="21"/>
      <w:szCs w:val="24"/>
    </w:rPr>
  </w:style>
  <w:style w:type="character" w:customStyle="1" w:styleId="17">
    <w:name w:val="批注主题 字符"/>
    <w:basedOn w:val="16"/>
    <w:link w:val="8"/>
    <w:qFormat/>
    <w:uiPriority w:val="0"/>
    <w:rPr>
      <w:rFonts w:ascii="Calibri" w:hAnsi="Calibri"/>
      <w:b/>
      <w:bCs/>
      <w:kern w:val="2"/>
      <w:sz w:val="21"/>
      <w:szCs w:val="24"/>
    </w:rPr>
  </w:style>
  <w:style w:type="paragraph" w:styleId="18">
    <w:name w:val="List Paragraph"/>
    <w:basedOn w:val="1"/>
    <w:unhideWhenUsed/>
    <w:qFormat/>
    <w:uiPriority w:val="99"/>
    <w:pPr>
      <w:ind w:firstLine="420" w:firstLineChars="200"/>
    </w:pPr>
  </w:style>
  <w:style w:type="character" w:customStyle="1" w:styleId="19">
    <w:name w:val="批注框文本 字符"/>
    <w:basedOn w:val="10"/>
    <w:link w:val="4"/>
    <w:qFormat/>
    <w:uiPriority w:val="0"/>
    <w:rPr>
      <w:rFonts w:ascii="Calibri" w:hAnsi="Calibri"/>
      <w:kern w:val="2"/>
      <w:sz w:val="18"/>
      <w:szCs w:val="18"/>
    </w:rPr>
  </w:style>
  <w:style w:type="paragraph" w:customStyle="1" w:styleId="20">
    <w:name w:val="Revision"/>
    <w:hidden/>
    <w:unhideWhenUsed/>
    <w:qFormat/>
    <w:uiPriority w:val="99"/>
    <w:rPr>
      <w:rFonts w:ascii="Calibri" w:hAnsi="Calibri"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593</Words>
  <Characters>3382</Characters>
  <Lines>28</Lines>
  <Paragraphs>7</Paragraphs>
  <TotalTime>35</TotalTime>
  <ScaleCrop>false</ScaleCrop>
  <LinksUpToDate>false</LinksUpToDate>
  <CharactersWithSpaces>3968</CharactersWithSpaces>
  <Application>WPS Office_11.8.2.11653_F1E327BC-269C-435d-A152-05C5408002CA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2023-09-01T13:44:00Z</dcterms:created>
  <dc:creator>Sherman~</dc:creator>
  <cp:lastModifiedBy>kylin</cp:lastModifiedBy>
  <dcterms:modified xsi:type="dcterms:W3CDTF">2023-09-15T09:13:17Z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BF5F8F6BE7E27A4AE35C0265C6CA14A6</vt:lpwstr>
  </property>
</Properties>
</file>