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44"/>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87" w:lineRule="exact"/>
        <w:jc w:val="center"/>
        <w:textAlignment w:val="auto"/>
        <w:rPr>
          <w:rFonts w:hint="eastAsia" w:ascii="方正小标宋_GBK" w:hAnsi="方正小标宋_GBK" w:eastAsia="方正小标宋_GBK" w:cs="方正小标宋_GBK"/>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87" w:lineRule="exact"/>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《江苏省口岸码头泊位开放管理服务</w:t>
      </w:r>
    </w:p>
    <w:p>
      <w:pPr>
        <w:keepNext w:val="0"/>
        <w:keepLines w:val="0"/>
        <w:pageBreakBefore w:val="0"/>
        <w:widowControl w:val="0"/>
        <w:kinsoku/>
        <w:wordWrap/>
        <w:overflowPunct/>
        <w:topLinePunct w:val="0"/>
        <w:autoSpaceDE/>
        <w:autoSpaceDN/>
        <w:bidi w:val="0"/>
        <w:adjustRightInd/>
        <w:snapToGrid/>
        <w:spacing w:line="587" w:lineRule="exact"/>
        <w:jc w:val="center"/>
        <w:textAlignment w:val="auto"/>
        <w:rPr>
          <w:rFonts w:hint="default" w:ascii="方正小标宋_GBK" w:hAnsi="方正小标宋_GBK" w:eastAsia="方正小标宋_GBK" w:cs="方正小标宋_GBK"/>
          <w:sz w:val="44"/>
          <w:szCs w:val="44"/>
          <w:lang w:val="en" w:eastAsia="zh-CN"/>
        </w:rPr>
      </w:pPr>
      <w:r>
        <w:rPr>
          <w:rFonts w:hint="eastAsia" w:ascii="方正小标宋_GBK" w:hAnsi="方正小标宋_GBK" w:eastAsia="方正小标宋_GBK" w:cs="方正小标宋_GBK"/>
          <w:sz w:val="44"/>
          <w:szCs w:val="44"/>
          <w:lang w:val="en-US" w:eastAsia="zh-CN"/>
        </w:rPr>
        <w:t>办法（试行）》</w:t>
      </w:r>
      <w:r>
        <w:rPr>
          <w:rFonts w:hint="eastAsia" w:ascii="方正小标宋_GBK" w:hAnsi="方正小标宋_GBK" w:eastAsia="方正小标宋_GBK" w:cs="方正小标宋_GBK"/>
          <w:sz w:val="44"/>
          <w:szCs w:val="44"/>
          <w:lang w:eastAsia="zh-CN"/>
        </w:rPr>
        <w:t>起草说明</w:t>
      </w:r>
    </w:p>
    <w:p>
      <w:pPr>
        <w:keepNext w:val="0"/>
        <w:keepLines w:val="0"/>
        <w:pageBreakBefore w:val="0"/>
        <w:widowControl w:val="0"/>
        <w:kinsoku/>
        <w:wordWrap/>
        <w:overflowPunct/>
        <w:topLinePunct w:val="0"/>
        <w:autoSpaceDE/>
        <w:autoSpaceDN/>
        <w:bidi w:val="0"/>
        <w:adjustRightInd/>
        <w:snapToGrid/>
        <w:spacing w:line="587" w:lineRule="exact"/>
        <w:jc w:val="center"/>
        <w:textAlignment w:val="auto"/>
        <w:rPr>
          <w:rFonts w:hint="default" w:ascii="Times New Roman" w:hAnsi="Times New Roman" w:eastAsia="方正楷体_GBK" w:cs="Times New Roman"/>
          <w:sz w:val="32"/>
          <w:szCs w:val="32"/>
          <w:lang w:val="en" w:eastAsia="zh-CN"/>
        </w:rPr>
      </w:pPr>
      <w:r>
        <w:rPr>
          <w:rFonts w:hint="default" w:ascii="Times New Roman" w:hAnsi="Times New Roman" w:eastAsia="方正楷体_GBK" w:cs="Times New Roman"/>
          <w:sz w:val="32"/>
          <w:szCs w:val="32"/>
          <w:lang w:eastAsia="zh-CN"/>
        </w:rPr>
        <w:t>省商务厅</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textAlignment w:val="auto"/>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before="0" w:after="0" w:line="587" w:lineRule="exact"/>
        <w:ind w:left="0" w:right="0" w:firstLine="640"/>
        <w:textAlignment w:val="auto"/>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pPr>
      <w:r>
        <w:rPr>
          <w:rFonts w:hint="eastAsia" w:ascii="Times New Roman" w:hAnsi="Times New Roman" w:eastAsia="方正仿宋_GBK" w:cs="Times New Roman"/>
          <w:sz w:val="32"/>
          <w:szCs w:val="32"/>
          <w:lang w:val="en-US" w:eastAsia="zh-CN"/>
        </w:rPr>
        <w:t>口岸是服务国家重大发展战略、服务全省高质量发展和高水平对外开放的重要平台门户，近年来，随着内外部环境发生深刻变化，我省口岸建设发展更加注重</w:t>
      </w:r>
      <w:r>
        <w:rPr>
          <w:rFonts w:hint="default" w:ascii="Times New Roman" w:hAnsi="Times New Roman" w:eastAsia="方正仿宋_GBK" w:cs="Times New Roman"/>
          <w:sz w:val="32"/>
          <w:szCs w:val="32"/>
          <w:lang w:val="en-US" w:eastAsia="zh-CN"/>
        </w:rPr>
        <w:t>贯彻落实党中央、国务院决策部署</w:t>
      </w:r>
      <w:r>
        <w:rPr>
          <w:rFonts w:hint="eastAsia" w:ascii="Times New Roman" w:hAnsi="Times New Roman" w:eastAsia="方正仿宋_GBK" w:cs="Times New Roman"/>
          <w:sz w:val="32"/>
          <w:szCs w:val="32"/>
          <w:lang w:val="en-US" w:eastAsia="zh-CN"/>
        </w:rPr>
        <w:t>和</w:t>
      </w:r>
      <w:r>
        <w:rPr>
          <w:rFonts w:hint="default" w:ascii="Times New Roman" w:hAnsi="Times New Roman" w:eastAsia="方正仿宋_GBK" w:cs="Times New Roman"/>
          <w:sz w:val="32"/>
          <w:szCs w:val="32"/>
          <w:lang w:val="en-US" w:eastAsia="zh-CN"/>
        </w:rPr>
        <w:t>省委、省政府的</w:t>
      </w:r>
      <w:r>
        <w:rPr>
          <w:rFonts w:hint="eastAsia" w:ascii="Times New Roman" w:hAnsi="Times New Roman" w:eastAsia="方正仿宋_GBK" w:cs="Times New Roman"/>
          <w:sz w:val="32"/>
          <w:szCs w:val="32"/>
          <w:lang w:val="en-US" w:eastAsia="zh-CN"/>
        </w:rPr>
        <w:t>具体要求，在坚持“布局合理、特色明显、服务一流、运转高效”总目标下，以优化功能布局、提高开放整体效益为重点，为服务构建新发展格局，打造市场化、法治化、国际化营商环境提供有力支撑。面对新形势新要求，现行的口岸管理规定已难以满足和适应当前口岸建设发展的需求。为更好提升口岸管理服务效能，我厅牵头组织起草了</w:t>
      </w:r>
      <w:r>
        <w:rPr>
          <w:rFonts w:hint="default" w:ascii="Times New Roman" w:hAnsi="Times New Roman" w:eastAsia="方正仿宋_GBK" w:cs="Times New Roman"/>
          <w:sz w:val="32"/>
          <w:szCs w:val="32"/>
          <w:lang w:val="en-US" w:eastAsia="zh-CN"/>
        </w:rPr>
        <w:t>《江苏省口岸码头泊位开放管理服</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务办法（试行）》</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（以下简称《管理服务办法》），现将有关情况说明如下：</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textAlignment w:val="auto"/>
        <w:rPr>
          <w:rFonts w:hint="eastAsia" w:ascii="方正黑体_GBK" w:hAnsi="方正黑体_GBK" w:eastAsia="方正黑体_GBK" w:cs="方正黑体_GBK"/>
          <w:kern w:val="2"/>
          <w:sz w:val="32"/>
          <w:szCs w:val="32"/>
          <w:lang w:val="en-US" w:eastAsia="zh-CN" w:bidi="ar-SA"/>
        </w:rPr>
      </w:pPr>
      <w:r>
        <w:rPr>
          <w:rFonts w:hint="eastAsia" w:ascii="方正黑体_GBK" w:hAnsi="方正黑体_GBK" w:eastAsia="方正黑体_GBK" w:cs="方正黑体_GBK"/>
          <w:kern w:val="2"/>
          <w:sz w:val="32"/>
          <w:szCs w:val="32"/>
          <w:lang w:val="en-US" w:eastAsia="zh-CN" w:bidi="ar-SA"/>
        </w:rPr>
        <w:t>一、起草过程</w:t>
      </w:r>
    </w:p>
    <w:p>
      <w:pPr>
        <w:keepNext w:val="0"/>
        <w:keepLines w:val="0"/>
        <w:pageBreakBefore w:val="0"/>
        <w:widowControl w:val="0"/>
        <w:kinsoku/>
        <w:wordWrap/>
        <w:overflowPunct/>
        <w:topLinePunct w:val="0"/>
        <w:autoSpaceDE/>
        <w:autoSpaceDN/>
        <w:bidi w:val="0"/>
        <w:adjustRightInd/>
        <w:snapToGrid/>
        <w:spacing w:before="0" w:after="0" w:line="587" w:lineRule="exact"/>
        <w:ind w:left="0" w:right="0" w:firstLine="640"/>
        <w:textAlignment w:val="auto"/>
        <w:rPr>
          <w:rFonts w:hint="eastAsia" w:eastAsia="方正仿宋_GBK"/>
          <w:color w:val="000000"/>
          <w:sz w:val="32"/>
          <w:szCs w:val="32"/>
          <w:lang w:eastAsia="zh-CN"/>
        </w:rPr>
      </w:pPr>
      <w:r>
        <w:rPr>
          <w:rFonts w:hint="eastAsia" w:eastAsia="方正仿宋_GBK"/>
          <w:color w:val="000000"/>
          <w:sz w:val="32"/>
          <w:szCs w:val="32"/>
          <w:lang w:eastAsia="zh-CN"/>
        </w:rPr>
        <w:t>经</w:t>
      </w:r>
      <w:r>
        <w:rPr>
          <w:rFonts w:hint="eastAsia" w:ascii="Times New Roman" w:hAnsi="Times New Roman" w:eastAsia="方正仿宋_GBK" w:cs="Times New Roman"/>
          <w:sz w:val="32"/>
          <w:szCs w:val="32"/>
          <w:lang w:val="en-US" w:eastAsia="zh-CN"/>
        </w:rPr>
        <w:t>与</w:t>
      </w:r>
      <w:r>
        <w:rPr>
          <w:rFonts w:hint="eastAsia" w:ascii="Times New Roman" w:hAnsi="Times New Roman" w:eastAsia="方正仿宋_GBK" w:cs="Times New Roman"/>
          <w:sz w:val="32"/>
          <w:szCs w:val="32"/>
          <w:lang w:eastAsia="zh-CN"/>
        </w:rPr>
        <w:t>中央驻苏查验单位、省级相关部门交流探讨，</w:t>
      </w:r>
      <w:r>
        <w:rPr>
          <w:rFonts w:hint="default" w:ascii="Times New Roman" w:hAnsi="Times New Roman" w:eastAsia="方正仿宋_GBK" w:cs="Times New Roman"/>
          <w:sz w:val="32"/>
          <w:szCs w:val="32"/>
          <w:lang w:val="en-US" w:eastAsia="zh-CN"/>
        </w:rPr>
        <w:t>结合</w:t>
      </w:r>
      <w:r>
        <w:rPr>
          <w:rFonts w:hint="eastAsia" w:ascii="Times New Roman" w:hAnsi="Times New Roman" w:eastAsia="方正仿宋_GBK" w:cs="Times New Roman"/>
          <w:sz w:val="32"/>
          <w:szCs w:val="32"/>
          <w:lang w:val="en-US" w:eastAsia="zh-CN"/>
        </w:rPr>
        <w:t>我省口岸开放发展</w:t>
      </w:r>
      <w:r>
        <w:rPr>
          <w:rFonts w:hint="default" w:ascii="Times New Roman" w:hAnsi="Times New Roman" w:eastAsia="方正仿宋_GBK" w:cs="Times New Roman"/>
          <w:sz w:val="32"/>
          <w:szCs w:val="32"/>
          <w:lang w:val="en-US" w:eastAsia="zh-CN"/>
        </w:rPr>
        <w:t>实际，</w:t>
      </w:r>
      <w:r>
        <w:rPr>
          <w:rFonts w:hint="eastAsia" w:ascii="Times New Roman" w:hAnsi="Times New Roman" w:eastAsia="方正仿宋_GBK" w:cs="Times New Roman"/>
          <w:sz w:val="32"/>
          <w:szCs w:val="32"/>
          <w:lang w:val="en-US" w:eastAsia="zh-CN"/>
        </w:rPr>
        <w:t>我厅于4月份</w:t>
      </w:r>
      <w:r>
        <w:rPr>
          <w:rFonts w:hint="default" w:ascii="Times New Roman" w:hAnsi="Times New Roman" w:eastAsia="方正仿宋_GBK" w:cs="Times New Roman"/>
          <w:sz w:val="32"/>
          <w:szCs w:val="32"/>
          <w:lang w:val="en-US" w:eastAsia="zh-CN"/>
        </w:rPr>
        <w:t>起草形成《</w:t>
      </w:r>
      <w:r>
        <w:rPr>
          <w:rFonts w:hint="default" w:ascii="Times New Roman" w:hAnsi="Times New Roman" w:eastAsia="方正仿宋_GBK" w:cs="Times New Roman"/>
          <w:snapToGrid/>
          <w:sz w:val="32"/>
          <w:szCs w:val="32"/>
          <w:lang w:eastAsia="zh-CN"/>
        </w:rPr>
        <w:t>管理服务办法</w:t>
      </w:r>
      <w:r>
        <w:rPr>
          <w:rFonts w:hint="default" w:ascii="Times New Roman" w:hAnsi="Times New Roman" w:eastAsia="方正仿宋_GBK" w:cs="Times New Roman"/>
          <w:sz w:val="32"/>
          <w:szCs w:val="32"/>
          <w:lang w:val="en-US" w:eastAsia="zh-CN"/>
        </w:rPr>
        <w:t>》初稿</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多次召开专题会议研究讨论</w:t>
      </w:r>
      <w:r>
        <w:rPr>
          <w:rFonts w:hint="eastAsia" w:ascii="Times New Roman" w:hAnsi="Times New Roman" w:eastAsia="方正仿宋_GBK" w:cs="Times New Roman"/>
          <w:sz w:val="32"/>
          <w:szCs w:val="32"/>
          <w:lang w:val="en-US" w:eastAsia="zh-CN"/>
        </w:rPr>
        <w:t>，结合</w:t>
      </w:r>
      <w:r>
        <w:rPr>
          <w:rFonts w:hint="default" w:ascii="Times New Roman" w:hAnsi="Times New Roman" w:eastAsia="方正仿宋_GBK" w:cs="Times New Roman"/>
          <w:sz w:val="32"/>
          <w:szCs w:val="32"/>
          <w:lang w:val="en-US" w:eastAsia="zh-CN"/>
        </w:rPr>
        <w:t>征求基层口岸管理部门意见</w:t>
      </w:r>
      <w:r>
        <w:rPr>
          <w:rFonts w:hint="eastAsia" w:ascii="Times New Roman" w:hAnsi="Times New Roman" w:eastAsia="方正仿宋_GBK" w:cs="Times New Roman"/>
          <w:sz w:val="32"/>
          <w:szCs w:val="32"/>
          <w:lang w:val="en-US" w:eastAsia="zh-CN"/>
        </w:rPr>
        <w:t>修改完善</w:t>
      </w:r>
      <w:r>
        <w:rPr>
          <w:rFonts w:hint="default" w:ascii="Times New Roman" w:hAnsi="Times New Roman" w:eastAsia="方正仿宋_GBK" w:cs="Times New Roman"/>
          <w:sz w:val="32"/>
          <w:szCs w:val="32"/>
          <w:lang w:val="en-US" w:eastAsia="zh-CN"/>
        </w:rPr>
        <w:t>，形成《</w:t>
      </w:r>
      <w:r>
        <w:rPr>
          <w:rFonts w:hint="default" w:ascii="Times New Roman" w:hAnsi="Times New Roman" w:eastAsia="方正仿宋_GBK" w:cs="Times New Roman"/>
          <w:snapToGrid/>
          <w:sz w:val="32"/>
          <w:szCs w:val="32"/>
          <w:lang w:eastAsia="zh-CN"/>
        </w:rPr>
        <w:t>管理服务办法</w:t>
      </w:r>
      <w:r>
        <w:rPr>
          <w:rFonts w:hint="default" w:ascii="Times New Roman" w:hAnsi="Times New Roman" w:eastAsia="方正仿宋_GBK" w:cs="Times New Roman"/>
          <w:sz w:val="32"/>
          <w:szCs w:val="32"/>
          <w:lang w:val="en-US" w:eastAsia="zh-CN"/>
        </w:rPr>
        <w:t>》（征求意见稿）</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在</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5月6日召开的省口岸工作领导小组会议暨跨境贸易便利化专项行动部署动员会上</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印</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发</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省各相关部门和各设区市人民政府征求意见</w:t>
      </w:r>
      <w:r>
        <w:rPr>
          <w:rFonts w:hint="default" w:ascii="Times New Roman" w:hAnsi="Times New Roman" w:eastAsia="方正仿宋_GBK" w:cs="Times New Roman"/>
          <w:sz w:val="32"/>
          <w:szCs w:val="32"/>
          <w:lang w:val="en" w:eastAsia="zh-CN"/>
        </w:rPr>
        <w:t>。</w:t>
      </w:r>
      <w:r>
        <w:rPr>
          <w:rFonts w:hint="default" w:ascii="Times New Roman" w:hAnsi="Times New Roman" w:eastAsia="方正仿宋_GBK" w:cs="Times New Roman"/>
          <w:sz w:val="32"/>
          <w:szCs w:val="32"/>
          <w:lang w:val="en-US" w:eastAsia="zh-CN"/>
        </w:rPr>
        <w:t>5月中旬至6月上旬，</w:t>
      </w:r>
      <w:r>
        <w:rPr>
          <w:rFonts w:hint="eastAsia" w:ascii="Times New Roman" w:hAnsi="Times New Roman" w:eastAsia="方正仿宋_GBK" w:cs="Times New Roman"/>
          <w:sz w:val="32"/>
          <w:szCs w:val="32"/>
          <w:lang w:val="en-US" w:eastAsia="zh-CN"/>
        </w:rPr>
        <w:t>结合</w:t>
      </w:r>
      <w:r>
        <w:rPr>
          <w:rFonts w:hint="default" w:ascii="Times New Roman" w:hAnsi="Times New Roman" w:eastAsia="方正仿宋_GBK" w:cs="Times New Roman"/>
          <w:sz w:val="32"/>
          <w:szCs w:val="32"/>
          <w:lang w:val="en-US" w:eastAsia="zh-CN"/>
        </w:rPr>
        <w:t>省有关部门和各设区市政府意见建议</w:t>
      </w:r>
      <w:r>
        <w:rPr>
          <w:rFonts w:hint="eastAsia" w:ascii="Times New Roman" w:hAnsi="Times New Roman" w:eastAsia="方正仿宋_GBK" w:cs="Times New Roman"/>
          <w:sz w:val="32"/>
          <w:szCs w:val="32"/>
          <w:lang w:val="en-US" w:eastAsia="zh-CN"/>
        </w:rPr>
        <w:t>再次修改文本</w:t>
      </w:r>
      <w:r>
        <w:rPr>
          <w:rFonts w:hint="default" w:ascii="Times New Roman" w:hAnsi="Times New Roman" w:eastAsia="方正仿宋_GBK" w:cs="Times New Roman"/>
          <w:sz w:val="32"/>
          <w:szCs w:val="32"/>
          <w:lang w:val="en-US" w:eastAsia="zh-CN"/>
        </w:rPr>
        <w:t>，并将意见采纳情况向相关部门和设区市进行反馈，形成《管理服务办法》（征求意见修改稿）</w:t>
      </w:r>
      <w:r>
        <w:rPr>
          <w:rFonts w:hint="eastAsia" w:ascii="Times New Roman" w:hAnsi="Times New Roman" w:eastAsia="方正仿宋_GBK" w:cs="Times New Roman"/>
          <w:sz w:val="32"/>
          <w:szCs w:val="32"/>
          <w:lang w:val="en-US" w:eastAsia="zh-CN"/>
        </w:rPr>
        <w:t>。</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由于现行规定是以省政府办公厅名义印发的规范性文件，此次《管理服务办法》也将按照规范性文件要求履行相关程序。</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6月中旬，在和</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我</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厅法</w:t>
      </w:r>
      <w:r>
        <w:rPr>
          <w:rFonts w:hint="default" w:ascii="Times New Roman" w:hAnsi="Times New Roman" w:eastAsia="方正仿宋_GBK" w:cs="Times New Roman"/>
          <w:sz w:val="32"/>
          <w:szCs w:val="32"/>
          <w:lang w:val="en-US" w:eastAsia="zh-CN"/>
        </w:rPr>
        <w:t>律</w:t>
      </w:r>
      <w:r>
        <w:rPr>
          <w:rFonts w:hint="eastAsia" w:ascii="Times New Roman" w:hAnsi="Times New Roman" w:eastAsia="方正仿宋_GBK" w:cs="Times New Roman"/>
          <w:sz w:val="32"/>
          <w:szCs w:val="32"/>
          <w:lang w:val="en-US" w:eastAsia="zh-CN"/>
        </w:rPr>
        <w:t>部门</w:t>
      </w:r>
      <w:r>
        <w:rPr>
          <w:rFonts w:hint="default" w:ascii="Times New Roman" w:hAnsi="Times New Roman" w:eastAsia="方正仿宋_GBK" w:cs="Times New Roman"/>
          <w:sz w:val="32"/>
          <w:szCs w:val="32"/>
          <w:lang w:val="en-US" w:eastAsia="zh-CN"/>
        </w:rPr>
        <w:t>共同研究探讨</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的基础上，对征求意见修改稿再次进行</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深入细致的</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修改完善，于6月29日在省商务厅网站</w:t>
      </w:r>
      <w:r>
        <w:rPr>
          <w:rFonts w:hint="default" w:ascii="Times New Roman" w:hAnsi="Times New Roman" w:eastAsia="方正仿宋_GBK" w:cs="Times New Roman"/>
          <w:sz w:val="32"/>
          <w:szCs w:val="32"/>
        </w:rPr>
        <w:t>向社会</w:t>
      </w:r>
      <w:r>
        <w:rPr>
          <w:rFonts w:hint="default" w:ascii="Times New Roman" w:hAnsi="Times New Roman" w:eastAsia="方正仿宋_GBK" w:cs="Times New Roman"/>
          <w:sz w:val="32"/>
          <w:szCs w:val="32"/>
          <w:lang w:eastAsia="zh-Hans"/>
        </w:rPr>
        <w:t>公开征求意见</w:t>
      </w:r>
      <w:r>
        <w:rPr>
          <w:rFonts w:hint="default" w:ascii="Times New Roman" w:hAnsi="Times New Roman" w:eastAsia="方正仿宋_GBK" w:cs="Times New Roman"/>
          <w:sz w:val="32"/>
          <w:szCs w:val="32"/>
        </w:rPr>
        <w:t>，为期30天</w:t>
      </w:r>
      <w:r>
        <w:rPr>
          <w:rFonts w:hint="default" w:ascii="Times New Roman" w:hAnsi="Times New Roman" w:eastAsia="方正仿宋_GBK" w:cs="Times New Roman"/>
          <w:sz w:val="32"/>
          <w:szCs w:val="32"/>
          <w:lang w:eastAsia="zh-Hans"/>
        </w:rPr>
        <w:t>。</w:t>
      </w:r>
    </w:p>
    <w:p>
      <w:pPr>
        <w:keepNext w:val="0"/>
        <w:keepLines w:val="0"/>
        <w:pageBreakBefore w:val="0"/>
        <w:widowControl w:val="0"/>
        <w:kinsoku/>
        <w:wordWrap/>
        <w:overflowPunct/>
        <w:topLinePunct w:val="0"/>
        <w:autoSpaceDE/>
        <w:autoSpaceDN/>
        <w:bidi w:val="0"/>
        <w:adjustRightInd/>
        <w:snapToGrid/>
        <w:spacing w:line="587" w:lineRule="exact"/>
        <w:ind w:firstLine="640" w:firstLineChars="200"/>
        <w:textAlignment w:val="auto"/>
        <w:rPr>
          <w:rFonts w:hint="default" w:ascii="Times New Roman" w:hAnsi="Times New Roman" w:eastAsia="方正仿宋_GBK" w:cs="Times New Roman"/>
          <w:b w:val="0"/>
          <w:bCs w:val="0"/>
          <w:i w:val="0"/>
          <w:iCs w:val="0"/>
          <w:color w:val="auto"/>
          <w:kern w:val="2"/>
          <w:sz w:val="32"/>
          <w:szCs w:val="32"/>
          <w:highlight w:val="none"/>
          <w:vertAlign w:val="baseline"/>
          <w:lang w:val="en" w:eastAsia="zh-CN" w:bidi="ar-SA"/>
        </w:rPr>
      </w:pPr>
      <w:r>
        <w:rPr>
          <w:rFonts w:hint="eastAsia" w:ascii="方正黑体_GBK" w:hAnsi="方正黑体_GBK" w:eastAsia="方正黑体_GBK" w:cs="方正黑体_GBK"/>
          <w:kern w:val="2"/>
          <w:sz w:val="32"/>
          <w:szCs w:val="32"/>
          <w:lang w:val="en-US" w:eastAsia="zh-CN" w:bidi="ar-SA"/>
        </w:rPr>
        <w:t>二、制定原则</w:t>
      </w:r>
    </w:p>
    <w:p>
      <w:pPr>
        <w:keepNext w:val="0"/>
        <w:keepLines w:val="0"/>
        <w:pageBreakBefore w:val="0"/>
        <w:widowControl w:val="0"/>
        <w:kinsoku/>
        <w:wordWrap/>
        <w:overflowPunct/>
        <w:topLinePunct w:val="0"/>
        <w:autoSpaceDE/>
        <w:autoSpaceDN/>
        <w:bidi w:val="0"/>
        <w:adjustRightInd/>
        <w:snapToGrid/>
        <w:spacing w:before="0" w:after="0" w:line="587" w:lineRule="exact"/>
        <w:ind w:left="0" w:right="0" w:firstLine="640"/>
        <w:textAlignment w:val="auto"/>
        <w:rPr>
          <w:rFonts w:hint="eastAsia" w:ascii="Times New Roman" w:hAnsi="Times New Roman" w:eastAsia="方正仿宋_GBK" w:cs="Times New Roman"/>
          <w:sz w:val="32"/>
          <w:szCs w:val="32"/>
          <w:lang w:eastAsia="zh-CN"/>
        </w:rPr>
      </w:pPr>
      <w:r>
        <w:rPr>
          <w:rFonts w:hint="eastAsia" w:eastAsia="方正仿宋_GBK"/>
          <w:color w:val="000000"/>
          <w:sz w:val="32"/>
          <w:szCs w:val="32"/>
          <w:lang w:eastAsia="zh-CN"/>
        </w:rPr>
        <w:t>制定过程</w:t>
      </w:r>
      <w:r>
        <w:rPr>
          <w:rFonts w:eastAsia="方正仿宋_GBK"/>
          <w:color w:val="000000"/>
          <w:sz w:val="32"/>
          <w:szCs w:val="32"/>
        </w:rPr>
        <w:t>中我们主要把握以下</w:t>
      </w:r>
      <w:r>
        <w:rPr>
          <w:rFonts w:hint="eastAsia" w:eastAsia="方正仿宋_GBK"/>
          <w:color w:val="000000"/>
          <w:sz w:val="32"/>
          <w:szCs w:val="32"/>
          <w:lang w:eastAsia="zh-CN"/>
        </w:rPr>
        <w:t>四</w:t>
      </w:r>
      <w:r>
        <w:rPr>
          <w:rFonts w:eastAsia="方正仿宋_GBK"/>
          <w:color w:val="000000"/>
          <w:sz w:val="32"/>
          <w:szCs w:val="32"/>
        </w:rPr>
        <w:t>点</w:t>
      </w:r>
      <w:r>
        <w:rPr>
          <w:rFonts w:hint="eastAsia" w:eastAsia="方正仿宋_GBK"/>
          <w:color w:val="000000"/>
          <w:sz w:val="32"/>
          <w:szCs w:val="32"/>
          <w:lang w:eastAsia="zh-CN"/>
        </w:rPr>
        <w:t>：</w:t>
      </w:r>
      <w:r>
        <w:rPr>
          <w:rFonts w:hint="default" w:ascii="Times New Roman" w:hAnsi="Times New Roman" w:eastAsia="方正楷体_GBK" w:cs="Times New Roman"/>
          <w:sz w:val="32"/>
          <w:szCs w:val="32"/>
          <w:lang w:eastAsia="zh-Hans"/>
        </w:rPr>
        <w:t>一是</w:t>
      </w:r>
      <w:r>
        <w:rPr>
          <w:rFonts w:hint="eastAsia" w:ascii="Times New Roman" w:hAnsi="Times New Roman" w:eastAsia="方正楷体_GBK" w:cs="Times New Roman"/>
          <w:sz w:val="32"/>
          <w:szCs w:val="32"/>
          <w:lang w:eastAsia="zh-CN"/>
        </w:rPr>
        <w:t>突出落实政策导向</w:t>
      </w:r>
      <w:r>
        <w:rPr>
          <w:rFonts w:hint="default" w:ascii="Times New Roman" w:hAnsi="Times New Roman" w:eastAsia="方正楷体_GBK" w:cs="Times New Roman"/>
          <w:sz w:val="32"/>
          <w:szCs w:val="32"/>
          <w:lang w:val="en-US" w:eastAsia="zh-CN"/>
        </w:rPr>
        <w:t>。</w:t>
      </w:r>
      <w:r>
        <w:rPr>
          <w:rFonts w:hint="eastAsia" w:ascii="Times New Roman" w:hAnsi="Times New Roman" w:eastAsia="方正仿宋_GBK" w:cs="Times New Roman"/>
          <w:sz w:val="32"/>
          <w:szCs w:val="32"/>
          <w:lang w:val="en-US" w:eastAsia="zh-CN"/>
        </w:rPr>
        <w:t>围绕“五型”口岸建设要求，贯彻省政府科学优化口岸布局、集约节约利用岸线资源、保护生态环境、提高口岸整体运营效益的总体部署，提供更加公开透明、便捷高效的管理服务规范。</w:t>
      </w:r>
      <w:r>
        <w:rPr>
          <w:rFonts w:hint="default" w:ascii="Times New Roman" w:hAnsi="Times New Roman" w:eastAsia="方正楷体_GBK" w:cs="Times New Roman"/>
          <w:sz w:val="32"/>
          <w:szCs w:val="32"/>
          <w:lang w:eastAsia="zh-Hans"/>
        </w:rPr>
        <w:t>二是</w:t>
      </w:r>
      <w:r>
        <w:rPr>
          <w:rFonts w:hint="eastAsia" w:ascii="Times New Roman" w:hAnsi="Times New Roman" w:eastAsia="方正楷体_GBK" w:cs="Times New Roman"/>
          <w:sz w:val="32"/>
          <w:szCs w:val="32"/>
          <w:lang w:eastAsia="zh-CN"/>
        </w:rPr>
        <w:t>突出全周期管理。</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从申请受理、验收启用到管理服务等开展全过程梳理，明确了口岸码头泊位开放建设发展的要求，明晰各方职责，推动高效配合，有利于提升运营管理效益。</w:t>
      </w:r>
      <w:r>
        <w:rPr>
          <w:rFonts w:hint="default" w:ascii="Times New Roman" w:hAnsi="Times New Roman" w:eastAsia="方正楷体_GBK" w:cs="Times New Roman"/>
          <w:sz w:val="32"/>
          <w:szCs w:val="32"/>
          <w:lang w:val="en-US" w:eastAsia="zh-CN"/>
        </w:rPr>
        <w:t>三是</w:t>
      </w:r>
      <w:r>
        <w:rPr>
          <w:rFonts w:hint="eastAsia" w:ascii="Times New Roman" w:hAnsi="Times New Roman" w:eastAsia="方正楷体_GBK" w:cs="Times New Roman"/>
          <w:sz w:val="32"/>
          <w:szCs w:val="32"/>
          <w:lang w:val="en-US" w:eastAsia="zh-CN"/>
        </w:rPr>
        <w:t>突出服务效能提升。</w:t>
      </w:r>
      <w:r>
        <w:rPr>
          <w:rFonts w:hint="eastAsia" w:ascii="Times New Roman" w:hAnsi="Times New Roman" w:eastAsia="方正仿宋_GBK" w:cs="Times New Roman"/>
          <w:sz w:val="32"/>
          <w:szCs w:val="32"/>
          <w:lang w:eastAsia="zh-CN"/>
        </w:rPr>
        <w:t>强化了对全省开放码头运营的服务指导，充实了口岸管理服务相关内容，有利于推动口岸码头发展迈向更加科学、规范、高效发展的轨道，不断提升全省口岸整体竞争力。</w:t>
      </w:r>
      <w:r>
        <w:rPr>
          <w:rFonts w:hint="eastAsia" w:ascii="Times New Roman" w:hAnsi="Times New Roman" w:eastAsia="方正楷体_GBK" w:cs="Times New Roman"/>
          <w:sz w:val="32"/>
          <w:szCs w:val="32"/>
          <w:lang w:val="en-US" w:eastAsia="zh-CN"/>
        </w:rPr>
        <w:t>四</w:t>
      </w:r>
      <w:r>
        <w:rPr>
          <w:rFonts w:hint="default" w:ascii="Times New Roman" w:hAnsi="Times New Roman" w:eastAsia="方正楷体_GBK" w:cs="Times New Roman"/>
          <w:sz w:val="32"/>
          <w:szCs w:val="32"/>
          <w:lang w:val="en-US" w:eastAsia="zh-CN"/>
        </w:rPr>
        <w:t>是</w:t>
      </w:r>
      <w:r>
        <w:rPr>
          <w:rFonts w:hint="eastAsia" w:ascii="Times New Roman" w:hAnsi="Times New Roman" w:eastAsia="方正楷体_GBK" w:cs="Times New Roman"/>
          <w:sz w:val="32"/>
          <w:szCs w:val="32"/>
          <w:lang w:val="en-US" w:eastAsia="zh-CN"/>
        </w:rPr>
        <w:t>突出业务流程优化。</w:t>
      </w:r>
      <w:r>
        <w:rPr>
          <w:rFonts w:hint="eastAsia" w:ascii="Times New Roman" w:hAnsi="Times New Roman" w:eastAsia="方正仿宋_GBK" w:cs="Times New Roman"/>
          <w:sz w:val="32"/>
          <w:szCs w:val="32"/>
          <w:lang w:eastAsia="zh-CN"/>
        </w:rPr>
        <w:t>在落实国家相关政策要求的基础上，结合江苏实际，进一步明晰了码头泊位开放、临时启用、临时开放等申请的条件、程序、材料以及可控环节的工作时限，为优化口岸管理服务流程提供充分的政策依据。</w:t>
      </w:r>
    </w:p>
    <w:p>
      <w:pPr>
        <w:keepNext w:val="0"/>
        <w:keepLines w:val="0"/>
        <w:pageBreakBefore w:val="0"/>
        <w:widowControl w:val="0"/>
        <w:kinsoku/>
        <w:wordWrap/>
        <w:overflowPunct/>
        <w:topLinePunct w:val="0"/>
        <w:autoSpaceDE w:val="0"/>
        <w:autoSpaceDN w:val="0"/>
        <w:bidi w:val="0"/>
        <w:adjustRightInd w:val="0"/>
        <w:snapToGrid w:val="0"/>
        <w:spacing w:line="587" w:lineRule="exact"/>
        <w:jc w:val="both"/>
        <w:textAlignment w:val="auto"/>
        <w:rPr>
          <w:rFonts w:hint="eastAsia" w:ascii="方正黑体_GBK" w:hAnsi="方正黑体_GBK" w:eastAsia="方正黑体_GBK" w:cs="方正黑体_GBK"/>
          <w:kern w:val="2"/>
          <w:sz w:val="32"/>
          <w:szCs w:val="32"/>
          <w:lang w:val="en-US" w:eastAsia="zh-CN" w:bidi="ar-SA"/>
        </w:rPr>
      </w:pPr>
      <w:r>
        <w:rPr>
          <w:rFonts w:hint="eastAsia" w:ascii="方正黑体_GBK" w:hAnsi="方正黑体_GBK" w:eastAsia="方正黑体_GBK" w:cs="方正黑体_GBK"/>
          <w:kern w:val="2"/>
          <w:sz w:val="32"/>
          <w:szCs w:val="32"/>
          <w:lang w:val="en-US" w:eastAsia="zh-CN" w:bidi="ar-SA"/>
        </w:rPr>
        <w:t xml:space="preserve">    三、主要内容</w:t>
      </w:r>
    </w:p>
    <w:p>
      <w:pPr>
        <w:keepNext w:val="0"/>
        <w:keepLines w:val="0"/>
        <w:pageBreakBefore w:val="0"/>
        <w:widowControl w:val="0"/>
        <w:numPr>
          <w:ilvl w:val="0"/>
          <w:numId w:val="0"/>
        </w:numPr>
        <w:kinsoku/>
        <w:wordWrap/>
        <w:overflowPunct/>
        <w:topLinePunct w:val="0"/>
        <w:autoSpaceDE/>
        <w:autoSpaceDN/>
        <w:bidi w:val="0"/>
        <w:adjustRightInd/>
        <w:snapToGrid/>
        <w:spacing w:before="0" w:after="0" w:line="587" w:lineRule="exact"/>
        <w:ind w:left="0" w:leftChars="0" w:right="0" w:firstLine="640" w:firstLineChars="200"/>
        <w:textAlignment w:val="auto"/>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pP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《管理服务办法》共6章33条，具体内容如下：</w:t>
      </w:r>
    </w:p>
    <w:p>
      <w:pPr>
        <w:autoSpaceDE w:val="0"/>
        <w:autoSpaceDN w:val="0"/>
        <w:snapToGrid w:val="0"/>
        <w:spacing w:line="560" w:lineRule="atLeast"/>
        <w:ind w:firstLine="624"/>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pP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第一章“总则”共5条，主要明确制定《管理服务办法》的目的、依据、适用范围及政府和相关部门的权责。其中,</w:t>
      </w:r>
      <w:r>
        <w:rPr>
          <w:rFonts w:hint="eastAsia" w:ascii="Times New Roman" w:hAnsi="Times New Roman" w:eastAsia="方正仿宋_GBK"/>
          <w:snapToGrid w:val="0"/>
          <w:kern w:val="0"/>
          <w:sz w:val="32"/>
          <w:szCs w:val="20"/>
        </w:rPr>
        <w:t>省人民政府</w:t>
      </w:r>
      <w:r>
        <w:rPr>
          <w:rFonts w:hint="eastAsia" w:ascii="Times New Roman" w:hAnsi="Times New Roman" w:eastAsia="方正仿宋_GBK"/>
          <w:snapToGrid w:val="0"/>
          <w:kern w:val="0"/>
          <w:sz w:val="32"/>
          <w:szCs w:val="20"/>
          <w:lang w:eastAsia="zh-CN"/>
        </w:rPr>
        <w:t>负责</w:t>
      </w:r>
      <w:r>
        <w:rPr>
          <w:rFonts w:hint="eastAsia" w:ascii="Times New Roman" w:hAnsi="Times New Roman" w:eastAsia="方正仿宋_GBK"/>
          <w:snapToGrid w:val="0"/>
          <w:kern w:val="0"/>
          <w:sz w:val="32"/>
          <w:szCs w:val="20"/>
        </w:rPr>
        <w:t>统筹推进江苏口岸的建设和发展</w:t>
      </w:r>
      <w:r>
        <w:rPr>
          <w:rFonts w:hint="eastAsia" w:ascii="Times New Roman" w:hAnsi="Times New Roman" w:eastAsia="方正仿宋_GBK"/>
          <w:snapToGrid w:val="0"/>
          <w:kern w:val="0"/>
          <w:sz w:val="32"/>
          <w:szCs w:val="20"/>
          <w:lang w:eastAsia="zh-CN"/>
        </w:rPr>
        <w:t>；</w:t>
      </w:r>
      <w:r>
        <w:rPr>
          <w:rFonts w:hint="eastAsia" w:ascii="Times New Roman" w:hAnsi="Times New Roman" w:eastAsia="方正仿宋_GBK"/>
          <w:snapToGrid w:val="0"/>
          <w:kern w:val="0"/>
          <w:sz w:val="32"/>
          <w:szCs w:val="20"/>
        </w:rPr>
        <w:t>口岸所在地人民政府</w:t>
      </w:r>
      <w:r>
        <w:rPr>
          <w:rFonts w:hint="eastAsia" w:ascii="Times New Roman" w:hAnsi="Times New Roman" w:eastAsia="方正仿宋_GBK"/>
          <w:snapToGrid w:val="0"/>
          <w:kern w:val="0"/>
          <w:sz w:val="32"/>
          <w:szCs w:val="20"/>
          <w:lang w:eastAsia="zh-CN"/>
        </w:rPr>
        <w:t>负责</w:t>
      </w:r>
      <w:r>
        <w:rPr>
          <w:rFonts w:hint="eastAsia" w:ascii="Times New Roman" w:hAnsi="Times New Roman" w:eastAsia="方正仿宋_GBK"/>
          <w:snapToGrid w:val="0"/>
          <w:kern w:val="0"/>
          <w:sz w:val="32"/>
          <w:szCs w:val="20"/>
        </w:rPr>
        <w:t>统筹协调本辖区口岸的建设和发展</w:t>
      </w:r>
      <w:r>
        <w:rPr>
          <w:rFonts w:hint="eastAsia" w:ascii="Times New Roman" w:hAnsi="Times New Roman" w:eastAsia="方正仿宋_GBK"/>
          <w:snapToGrid w:val="0"/>
          <w:kern w:val="0"/>
          <w:sz w:val="32"/>
          <w:szCs w:val="20"/>
          <w:lang w:eastAsia="zh-CN"/>
        </w:rPr>
        <w:t>；</w:t>
      </w:r>
      <w:r>
        <w:rPr>
          <w:rFonts w:hint="eastAsia" w:ascii="Times New Roman" w:hAnsi="Times New Roman" w:eastAsia="方正仿宋_GBK"/>
          <w:snapToGrid w:val="0"/>
          <w:kern w:val="0"/>
          <w:sz w:val="32"/>
          <w:szCs w:val="20"/>
        </w:rPr>
        <w:t>省级口岸主管部门</w:t>
      </w:r>
      <w:r>
        <w:rPr>
          <w:rFonts w:hint="eastAsia" w:ascii="Times New Roman" w:hAnsi="Times New Roman" w:eastAsia="方正仿宋_GBK"/>
          <w:snapToGrid w:val="0"/>
          <w:kern w:val="0"/>
          <w:sz w:val="32"/>
          <w:szCs w:val="20"/>
          <w:lang w:eastAsia="zh-CN"/>
        </w:rPr>
        <w:t>负责</w:t>
      </w:r>
      <w:r>
        <w:rPr>
          <w:rFonts w:hint="eastAsia" w:ascii="Times New Roman" w:hAnsi="Times New Roman" w:eastAsia="方正仿宋_GBK"/>
          <w:snapToGrid w:val="0"/>
          <w:kern w:val="0"/>
          <w:sz w:val="32"/>
          <w:szCs w:val="20"/>
        </w:rPr>
        <w:t>组织协调全省口岸开放管理工作</w:t>
      </w:r>
      <w:r>
        <w:rPr>
          <w:rFonts w:hint="eastAsia" w:ascii="Times New Roman" w:hAnsi="Times New Roman" w:eastAsia="方正仿宋_GBK"/>
          <w:snapToGrid w:val="0"/>
          <w:kern w:val="0"/>
          <w:sz w:val="32"/>
          <w:szCs w:val="20"/>
          <w:lang w:eastAsia="zh-CN"/>
        </w:rPr>
        <w:t>；</w:t>
      </w:r>
      <w:r>
        <w:rPr>
          <w:rFonts w:hint="eastAsia" w:ascii="Times New Roman" w:hAnsi="Times New Roman" w:eastAsia="方正仿宋_GBK"/>
          <w:snapToGrid w:val="0"/>
          <w:kern w:val="0"/>
          <w:sz w:val="32"/>
          <w:szCs w:val="20"/>
        </w:rPr>
        <w:t>口岸所在地设区市的口岸主管部门</w:t>
      </w:r>
      <w:r>
        <w:rPr>
          <w:rFonts w:hint="eastAsia" w:ascii="Times New Roman" w:hAnsi="Times New Roman" w:eastAsia="方正仿宋_GBK"/>
          <w:snapToGrid w:val="0"/>
          <w:kern w:val="0"/>
          <w:sz w:val="32"/>
          <w:szCs w:val="20"/>
          <w:lang w:eastAsia="zh-CN"/>
        </w:rPr>
        <w:t>负责</w:t>
      </w:r>
      <w:r>
        <w:rPr>
          <w:rFonts w:hint="eastAsia" w:ascii="Times New Roman" w:hAnsi="Times New Roman" w:eastAsia="方正仿宋_GBK"/>
          <w:snapToGrid w:val="0"/>
          <w:kern w:val="0"/>
          <w:sz w:val="32"/>
          <w:szCs w:val="20"/>
        </w:rPr>
        <w:t>协调本行政区域内口岸管理工作</w:t>
      </w:r>
      <w:r>
        <w:rPr>
          <w:rFonts w:hint="eastAsia" w:ascii="Times New Roman" w:hAnsi="Times New Roman" w:eastAsia="方正仿宋_GBK"/>
          <w:snapToGrid w:val="0"/>
          <w:kern w:val="0"/>
          <w:sz w:val="32"/>
          <w:szCs w:val="20"/>
          <w:lang w:eastAsia="zh-CN"/>
        </w:rPr>
        <w:t>；</w:t>
      </w:r>
      <w:r>
        <w:rPr>
          <w:rFonts w:hint="eastAsia" w:ascii="Times New Roman" w:hAnsi="Times New Roman" w:eastAsia="方正仿宋_GBK"/>
          <w:snapToGrid w:val="0"/>
          <w:kern w:val="0"/>
          <w:sz w:val="32"/>
          <w:szCs w:val="20"/>
        </w:rPr>
        <w:t>省级口岸查验机构按职责参加</w:t>
      </w:r>
      <w:r>
        <w:rPr>
          <w:rFonts w:hint="eastAsia" w:ascii="Times New Roman" w:hAnsi="Times New Roman" w:eastAsia="方正仿宋_GBK"/>
          <w:snapToGrid w:val="0"/>
          <w:kern w:val="0"/>
          <w:sz w:val="32"/>
          <w:szCs w:val="20"/>
          <w:lang w:eastAsia="zh-CN"/>
        </w:rPr>
        <w:t>口岸</w:t>
      </w:r>
      <w:r>
        <w:rPr>
          <w:rFonts w:hint="eastAsia" w:ascii="Times New Roman" w:hAnsi="Times New Roman" w:eastAsia="方正仿宋_GBK"/>
          <w:snapToGrid w:val="0"/>
          <w:kern w:val="0"/>
          <w:sz w:val="32"/>
          <w:szCs w:val="20"/>
        </w:rPr>
        <w:t>开放相关工作</w:t>
      </w:r>
      <w:r>
        <w:rPr>
          <w:rFonts w:hint="eastAsia" w:ascii="Times New Roman" w:hAnsi="Times New Roman" w:eastAsia="方正仿宋_GBK"/>
          <w:snapToGrid w:val="0"/>
          <w:kern w:val="0"/>
          <w:sz w:val="32"/>
          <w:szCs w:val="20"/>
          <w:lang w:eastAsia="zh-CN"/>
        </w:rPr>
        <w:t>；</w:t>
      </w:r>
      <w:r>
        <w:rPr>
          <w:rFonts w:hint="eastAsia" w:ascii="Times New Roman" w:hAnsi="Times New Roman" w:eastAsia="方正仿宋_GBK"/>
          <w:snapToGrid w:val="0"/>
          <w:kern w:val="0"/>
          <w:sz w:val="32"/>
          <w:szCs w:val="20"/>
        </w:rPr>
        <w:t>省发展改革、生态环境、住房城乡建设、交通运输、卫生健康等相关部门根据各自职责，协同实施本办法。</w:t>
      </w:r>
    </w:p>
    <w:p>
      <w:pPr>
        <w:keepNext w:val="0"/>
        <w:keepLines w:val="0"/>
        <w:pageBreakBefore w:val="0"/>
        <w:widowControl w:val="0"/>
        <w:numPr>
          <w:ilvl w:val="0"/>
          <w:numId w:val="0"/>
        </w:numPr>
        <w:kinsoku/>
        <w:wordWrap/>
        <w:overflowPunct/>
        <w:topLinePunct w:val="0"/>
        <w:autoSpaceDE/>
        <w:autoSpaceDN/>
        <w:bidi w:val="0"/>
        <w:adjustRightInd/>
        <w:snapToGrid/>
        <w:spacing w:before="0" w:after="0" w:line="587" w:lineRule="exact"/>
        <w:ind w:left="0" w:leftChars="0" w:right="0" w:firstLine="640" w:firstLineChars="200"/>
        <w:textAlignment w:val="auto"/>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pP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第二章“口岸码头泊位开放申请与受理”共11条，主要明确口岸开放和扩大开放，已开放口岸范围内码头泊位开放和临时启用，非开放水域码头泊位临时开放等项目申请受理需要具备的条件、受理程序以及需提交的相关材料。其中，第六条提出保护岸线资源和生态环境，避免重复建设的总体要求；第八条至第十条明确了新建、改建码头泊位申请开放的流程、所需材料和要求；第十二条至第十六条明确了码头泊位临时启用、临时开放的办理流程、所需材料和要求。</w:t>
      </w:r>
    </w:p>
    <w:p>
      <w:pPr>
        <w:keepNext w:val="0"/>
        <w:keepLines w:val="0"/>
        <w:pageBreakBefore w:val="0"/>
        <w:widowControl w:val="0"/>
        <w:numPr>
          <w:ilvl w:val="0"/>
          <w:numId w:val="0"/>
        </w:numPr>
        <w:kinsoku/>
        <w:wordWrap/>
        <w:overflowPunct/>
        <w:topLinePunct w:val="0"/>
        <w:autoSpaceDE/>
        <w:autoSpaceDN/>
        <w:bidi w:val="0"/>
        <w:adjustRightInd/>
        <w:snapToGrid/>
        <w:spacing w:before="0" w:after="0" w:line="587" w:lineRule="exact"/>
        <w:ind w:left="0" w:leftChars="0" w:right="0" w:firstLine="640" w:firstLineChars="200"/>
        <w:textAlignment w:val="auto"/>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pP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第三章“口岸码头泊位开放验收与启用”共6条，主要明确口岸码头泊位开放、码头泊位临时启用和临时开放在验收和启用环节的审查内容与程序、时限等。其中，第十七条至第二十条明确了新开口岸和新建、改建码头泊位验收及启用的流程和工作时限；第二十一条至第二十二条明确了临时启用、临时开放的时间及要求。</w:t>
      </w:r>
    </w:p>
    <w:p>
      <w:pPr>
        <w:keepNext w:val="0"/>
        <w:keepLines w:val="0"/>
        <w:pageBreakBefore w:val="0"/>
        <w:widowControl w:val="0"/>
        <w:numPr>
          <w:ilvl w:val="0"/>
          <w:numId w:val="0"/>
        </w:numPr>
        <w:kinsoku/>
        <w:wordWrap/>
        <w:overflowPunct/>
        <w:topLinePunct w:val="0"/>
        <w:autoSpaceDE/>
        <w:autoSpaceDN/>
        <w:bidi w:val="0"/>
        <w:adjustRightInd/>
        <w:snapToGrid/>
        <w:spacing w:before="0" w:after="0" w:line="587" w:lineRule="exact"/>
        <w:ind w:left="0" w:leftChars="0" w:right="0" w:firstLine="640" w:firstLineChars="200"/>
        <w:textAlignment w:val="auto"/>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pP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第四章“口岸码头泊位管理与服务”共6条，主要明确各相关部门履行口岸码头管理职责，以及开展口岸码头绩效评价、跨境贸易便利化、信息平台建设、中介市场管理等方面工作要求。其中，第二十三条强调建立完善口岸协调机制，明确口岸查验机构按法定职责实施检查检验工作；第二十四条规定持续开展口岸运行数据分析监测；第二十五条至第二十八条明确了开展口岸综合绩效评估、促进跨境贸易便利化、加强口岸数字化建设及支持市场中介机构发展等主要工作。</w:t>
      </w:r>
    </w:p>
    <w:p>
      <w:pPr>
        <w:keepNext w:val="0"/>
        <w:keepLines w:val="0"/>
        <w:pageBreakBefore w:val="0"/>
        <w:widowControl w:val="0"/>
        <w:numPr>
          <w:ilvl w:val="0"/>
          <w:numId w:val="0"/>
        </w:numPr>
        <w:kinsoku/>
        <w:wordWrap/>
        <w:overflowPunct/>
        <w:topLinePunct w:val="0"/>
        <w:autoSpaceDE/>
        <w:autoSpaceDN/>
        <w:bidi w:val="0"/>
        <w:adjustRightInd/>
        <w:snapToGrid/>
        <w:spacing w:before="0" w:after="0" w:line="587" w:lineRule="exact"/>
        <w:ind w:left="0" w:leftChars="0" w:right="0" w:firstLine="640" w:firstLineChars="200"/>
        <w:textAlignment w:val="auto"/>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pP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第五章“法律责任”共3条，主要明确口岸主管部门对未办理开放手续擅自接靠国际交通运输工具行为的制止职责，以及开展码头泊位监督检查中经营单位的配合要求。</w:t>
      </w:r>
    </w:p>
    <w:p>
      <w:pPr>
        <w:keepNext w:val="0"/>
        <w:keepLines w:val="0"/>
        <w:pageBreakBefore w:val="0"/>
        <w:widowControl w:val="0"/>
        <w:kinsoku/>
        <w:wordWrap/>
        <w:overflowPunct/>
        <w:topLinePunct w:val="0"/>
        <w:autoSpaceDE w:val="0"/>
        <w:autoSpaceDN w:val="0"/>
        <w:bidi w:val="0"/>
        <w:adjustRightInd w:val="0"/>
        <w:snapToGrid w:val="0"/>
        <w:spacing w:line="587" w:lineRule="exact"/>
        <w:jc w:val="both"/>
        <w:textAlignment w:val="auto"/>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pP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 xml:space="preserve">    第六章“附则”2条，主要是明确《管理服务办法》解释权限及试行日期。   </w:t>
      </w:r>
    </w:p>
    <w:sectPr>
      <w:footerReference r:id="rId4" w:type="default"/>
      <w:pgSz w:w="11906" w:h="16838"/>
      <w:pgMar w:top="2098" w:right="1531" w:bottom="1984" w:left="1531"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OdtC+LIAQAAmQMAAA4AAABkcnMv&#10;ZTJvRG9jLnhtbK1TS27bMBDdF+gdCO5rKl4UhmA5aGAkKBCkBdIegKZIiwB/4NCWfIH2Bl11033P&#10;5XN0SElOmm6y6IYazgzfzHszWl8P1pCjjKC9a+jVoqJEOuFb7fYN/frl9t2KEkjctdx4Jxt6kkCv&#10;N2/frPtQy6XvvGllJAjioO5DQ7uUQs0YiE5aDgsfpMOg8tHyhNe4Z23kPaJbw5ZV9Z71PrYheiEB&#10;0Lsdg3RCjK8B9EppIbdeHKx0aUSN0vCElKDTAeimdKuUFOmTUiATMQ1FpqmcWATtXT7ZZs3rfeSh&#10;02Jqgb+mhRecLNcOi16gtjxxcoj6HyirRfTgVVoIb9lIpCiCLK6qF9o8djzIwgWlhnARHf4frHg4&#10;fo5Et7gJlDhuceDnH9/PP3+ff30jyyxPH6DGrMeAeWm48UNOnfyAzsx6UNHmL/IhGEdxTxdx5ZCI&#10;yI9Wy9WqwpDA2HxBHPb0PERId9Jbko2GRpxeEZUf7yGNqXNKrub8rTYG/bw27i8HYmYPy72PPWYr&#10;Dbthanzn2xPy6XHwDXW455SYjw51zTsyG3E2drNxCFHvu7JEuR6ED4eETZTecoURdiqMEyvspu3K&#10;K/H8XrKe/qjNH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FAAAAAgAh07iQIoUZjzRAAAAlAEA&#10;AAsAAAAAAAAAAQAgAAAATAMAAF9yZWxzLy5yZWxzUEsBAhQAFAAAAAgAh07iQM6pebnPAAAABQEA&#10;AA8AAAAAAAAAAQAgAAAAOAAAAGRycy9kb3ducmV2LnhtbFBLAQIUABQAAAAIAIdO4kDnbQviyAEA&#10;AJkDAAAOAAAAAAAAAAEAIAAAADQBAABkcnMvZTJvRG9jLnhtbFBLAQIUAAoAAAAAAIdO4kAAAAAA&#10;AAAAAAAAAAAEAAAAAAAAAAAAEAAAABYAAABkcnMvUEsBAhQACgAAAAAAh07iQAAAAAAAAAAAAAAA&#10;AAYAAAAAAAAAAAAQAAAAKAMAAF9yZWxzL1BLBQYAAAAABgAGAFkBAABuBQAAAAA=&#10;">
              <v:fill on="f" focussize="0,0"/>
              <v:stroke on="f"/>
              <v:imagedata o:title=""/>
              <o:lock v:ext="edit" aspectratio="f"/>
              <v:textbox inset="0mm,0mm,0mm,0mm" style="mso-fit-shape-to-text:t;">
                <w:txbxContent>
                  <w:p>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hyphenationZone w:val="360"/>
  <w:drawingGridVerticalSpacing w:val="156"/>
  <w:displayHorizontalDrawingGridEvery w:val="0"/>
  <w:displayVerticalDrawingGridEvery w:val="2"/>
  <w:doNotShadeFormData w:val="1"/>
  <w:characterSpacingControl w:val="compressPunctuation"/>
  <w:doNotValidateAgainstSchema/>
  <w:doNotDemarcateInvalidXml/>
  <w:hdrShapeDefaults>
    <o:shapelayout v:ext="edit">
      <o:idmap v:ext="edit" data="2"/>
    </o:shapelayout>
  </w:hdrShapeDefaults>
  <w:footnotePr>
    <w:footnote w:id="0"/>
    <w:footnote w:id="1"/>
  </w:foot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Y5NDdlYjJiNTkzMGRmOTc0NDFkMWFiNTFlMmQzNzcifQ=="/>
  </w:docVars>
  <w:rsids>
    <w:rsidRoot w:val="00172A27"/>
    <w:rsid w:val="01B85D19"/>
    <w:rsid w:val="082A5F3E"/>
    <w:rsid w:val="09A63337"/>
    <w:rsid w:val="09AC3A55"/>
    <w:rsid w:val="0D5D7E3D"/>
    <w:rsid w:val="0FF77716"/>
    <w:rsid w:val="114535BD"/>
    <w:rsid w:val="11733E5C"/>
    <w:rsid w:val="15537E34"/>
    <w:rsid w:val="177F0530"/>
    <w:rsid w:val="17CD7F38"/>
    <w:rsid w:val="17FF5951"/>
    <w:rsid w:val="1A332848"/>
    <w:rsid w:val="1B7DA5A2"/>
    <w:rsid w:val="1BBBA27B"/>
    <w:rsid w:val="1BE340FE"/>
    <w:rsid w:val="1BEEAAA7"/>
    <w:rsid w:val="1CF33096"/>
    <w:rsid w:val="1EAFDC3E"/>
    <w:rsid w:val="1F6D775E"/>
    <w:rsid w:val="1F7FDBC9"/>
    <w:rsid w:val="22B26EF4"/>
    <w:rsid w:val="26EAA42C"/>
    <w:rsid w:val="28B4721B"/>
    <w:rsid w:val="28BFD924"/>
    <w:rsid w:val="2BB07F7F"/>
    <w:rsid w:val="2C8608B9"/>
    <w:rsid w:val="2E043850"/>
    <w:rsid w:val="2F103B63"/>
    <w:rsid w:val="2FEBF113"/>
    <w:rsid w:val="2FFF945A"/>
    <w:rsid w:val="33DB239D"/>
    <w:rsid w:val="33F2C5CB"/>
    <w:rsid w:val="34AFE0CD"/>
    <w:rsid w:val="35BEB0AA"/>
    <w:rsid w:val="35ED89A3"/>
    <w:rsid w:val="36F545B8"/>
    <w:rsid w:val="372F4A71"/>
    <w:rsid w:val="377C87A0"/>
    <w:rsid w:val="37BDEF05"/>
    <w:rsid w:val="37D7F5CE"/>
    <w:rsid w:val="383B3FBA"/>
    <w:rsid w:val="3AFDA729"/>
    <w:rsid w:val="3BBEA504"/>
    <w:rsid w:val="3BE753FB"/>
    <w:rsid w:val="3BFB76E6"/>
    <w:rsid w:val="3BFF145A"/>
    <w:rsid w:val="3CB47488"/>
    <w:rsid w:val="3CED3875"/>
    <w:rsid w:val="3D77671F"/>
    <w:rsid w:val="3D9D5414"/>
    <w:rsid w:val="3DBF8D11"/>
    <w:rsid w:val="3DD53B56"/>
    <w:rsid w:val="3E38486C"/>
    <w:rsid w:val="3ECA4FDC"/>
    <w:rsid w:val="3EE51910"/>
    <w:rsid w:val="3F7F8CF6"/>
    <w:rsid w:val="3F97F587"/>
    <w:rsid w:val="3FF39185"/>
    <w:rsid w:val="3FF6E721"/>
    <w:rsid w:val="3FF82453"/>
    <w:rsid w:val="3FFF8CD8"/>
    <w:rsid w:val="3FFFE62C"/>
    <w:rsid w:val="424EC284"/>
    <w:rsid w:val="43BE3E62"/>
    <w:rsid w:val="4A9B4724"/>
    <w:rsid w:val="4B576B84"/>
    <w:rsid w:val="4B6B2578"/>
    <w:rsid w:val="4B81595F"/>
    <w:rsid w:val="4B8F6261"/>
    <w:rsid w:val="4BC574B9"/>
    <w:rsid w:val="4D5BFF89"/>
    <w:rsid w:val="4DF773A5"/>
    <w:rsid w:val="50542906"/>
    <w:rsid w:val="50710BC6"/>
    <w:rsid w:val="50EB3AAF"/>
    <w:rsid w:val="541D2076"/>
    <w:rsid w:val="547F26FA"/>
    <w:rsid w:val="54DB6B84"/>
    <w:rsid w:val="55FF735F"/>
    <w:rsid w:val="56B7C18E"/>
    <w:rsid w:val="57BCAF0D"/>
    <w:rsid w:val="57BF6495"/>
    <w:rsid w:val="57DA3C83"/>
    <w:rsid w:val="57FFEC5A"/>
    <w:rsid w:val="58ED3E90"/>
    <w:rsid w:val="59DF0ABC"/>
    <w:rsid w:val="5AD31415"/>
    <w:rsid w:val="5AED406E"/>
    <w:rsid w:val="5B5F1393"/>
    <w:rsid w:val="5B9FC1A1"/>
    <w:rsid w:val="5BFF016E"/>
    <w:rsid w:val="5D3F5C91"/>
    <w:rsid w:val="5DBFFF35"/>
    <w:rsid w:val="5E0E53A4"/>
    <w:rsid w:val="5E7B980F"/>
    <w:rsid w:val="5E7F6DA5"/>
    <w:rsid w:val="5EF2572A"/>
    <w:rsid w:val="5F7DD501"/>
    <w:rsid w:val="5F7F97E9"/>
    <w:rsid w:val="5FBCEA25"/>
    <w:rsid w:val="5FDBE3F4"/>
    <w:rsid w:val="5FDEA6A7"/>
    <w:rsid w:val="5FFBFD8C"/>
    <w:rsid w:val="5FFE7C8D"/>
    <w:rsid w:val="61AB432D"/>
    <w:rsid w:val="631BA827"/>
    <w:rsid w:val="677D2513"/>
    <w:rsid w:val="67BCA8A1"/>
    <w:rsid w:val="67DBC593"/>
    <w:rsid w:val="67FBDD9E"/>
    <w:rsid w:val="67FEF27A"/>
    <w:rsid w:val="6AFF46B6"/>
    <w:rsid w:val="6B76C734"/>
    <w:rsid w:val="6B7F9A72"/>
    <w:rsid w:val="6DDE2AD5"/>
    <w:rsid w:val="6E77E184"/>
    <w:rsid w:val="6F597FE0"/>
    <w:rsid w:val="6F6F347E"/>
    <w:rsid w:val="6F7F9CC0"/>
    <w:rsid w:val="6F8776E4"/>
    <w:rsid w:val="6F97D1D6"/>
    <w:rsid w:val="6F9FF13D"/>
    <w:rsid w:val="6FA26D85"/>
    <w:rsid w:val="6FCCE81A"/>
    <w:rsid w:val="6FCFFF38"/>
    <w:rsid w:val="6FEFA728"/>
    <w:rsid w:val="6FF309B9"/>
    <w:rsid w:val="6FFF5560"/>
    <w:rsid w:val="6FFF9EDE"/>
    <w:rsid w:val="6FFFCAE1"/>
    <w:rsid w:val="71FA93CD"/>
    <w:rsid w:val="71FD7784"/>
    <w:rsid w:val="725EE29A"/>
    <w:rsid w:val="733BCB00"/>
    <w:rsid w:val="739D9E81"/>
    <w:rsid w:val="73B77F75"/>
    <w:rsid w:val="73CF5CB7"/>
    <w:rsid w:val="75570D0A"/>
    <w:rsid w:val="75BF8070"/>
    <w:rsid w:val="75EA68FC"/>
    <w:rsid w:val="767E7BA6"/>
    <w:rsid w:val="76FCEFC0"/>
    <w:rsid w:val="76FF7853"/>
    <w:rsid w:val="772D7222"/>
    <w:rsid w:val="77B9AC52"/>
    <w:rsid w:val="77DFC927"/>
    <w:rsid w:val="77DFE91F"/>
    <w:rsid w:val="77F3ABE6"/>
    <w:rsid w:val="77FB2120"/>
    <w:rsid w:val="77FB22B5"/>
    <w:rsid w:val="77FD7A09"/>
    <w:rsid w:val="77FF2D88"/>
    <w:rsid w:val="787E5EB6"/>
    <w:rsid w:val="793E8130"/>
    <w:rsid w:val="7957EE21"/>
    <w:rsid w:val="79EF4CD6"/>
    <w:rsid w:val="7A3BF2DA"/>
    <w:rsid w:val="7AAE2E34"/>
    <w:rsid w:val="7AFD97A1"/>
    <w:rsid w:val="7AFF1C98"/>
    <w:rsid w:val="7B7BF279"/>
    <w:rsid w:val="7B9BB21C"/>
    <w:rsid w:val="7BBDF277"/>
    <w:rsid w:val="7BCD69C6"/>
    <w:rsid w:val="7BEE79AD"/>
    <w:rsid w:val="7BF3E6A8"/>
    <w:rsid w:val="7CFDD22F"/>
    <w:rsid w:val="7D6FA95E"/>
    <w:rsid w:val="7D7F02EB"/>
    <w:rsid w:val="7D7F5B00"/>
    <w:rsid w:val="7D9302C1"/>
    <w:rsid w:val="7DDF24D7"/>
    <w:rsid w:val="7DF52636"/>
    <w:rsid w:val="7DF74029"/>
    <w:rsid w:val="7E0F8A9E"/>
    <w:rsid w:val="7E2BAC3D"/>
    <w:rsid w:val="7E6BB5D9"/>
    <w:rsid w:val="7EBF42FE"/>
    <w:rsid w:val="7EBFC0D8"/>
    <w:rsid w:val="7ED77BE0"/>
    <w:rsid w:val="7EDC2C46"/>
    <w:rsid w:val="7EEFE5E7"/>
    <w:rsid w:val="7EFF9F8F"/>
    <w:rsid w:val="7F3F8348"/>
    <w:rsid w:val="7F560F1D"/>
    <w:rsid w:val="7F6FFD22"/>
    <w:rsid w:val="7F7F1C9D"/>
    <w:rsid w:val="7F7F4D4D"/>
    <w:rsid w:val="7F85F586"/>
    <w:rsid w:val="7FA355B7"/>
    <w:rsid w:val="7FAFDF76"/>
    <w:rsid w:val="7FBC8993"/>
    <w:rsid w:val="7FBF2857"/>
    <w:rsid w:val="7FCC5758"/>
    <w:rsid w:val="7FD39CEB"/>
    <w:rsid w:val="7FDF7AFD"/>
    <w:rsid w:val="7FEFD16F"/>
    <w:rsid w:val="7FF6E014"/>
    <w:rsid w:val="7FF70875"/>
    <w:rsid w:val="7FFB554C"/>
    <w:rsid w:val="7FFF3016"/>
    <w:rsid w:val="7FFF6156"/>
    <w:rsid w:val="87EEC92E"/>
    <w:rsid w:val="8BE668A2"/>
    <w:rsid w:val="8DB58169"/>
    <w:rsid w:val="8F3B4433"/>
    <w:rsid w:val="90A783C5"/>
    <w:rsid w:val="91FB723D"/>
    <w:rsid w:val="963F3AEA"/>
    <w:rsid w:val="983958F7"/>
    <w:rsid w:val="98AE082C"/>
    <w:rsid w:val="999F16FE"/>
    <w:rsid w:val="9C3ECB05"/>
    <w:rsid w:val="9D8F2A7C"/>
    <w:rsid w:val="9EDE5572"/>
    <w:rsid w:val="9EFD20DC"/>
    <w:rsid w:val="9F1E3C03"/>
    <w:rsid w:val="9F5F2E62"/>
    <w:rsid w:val="9FBBBCB5"/>
    <w:rsid w:val="9FDE287C"/>
    <w:rsid w:val="9FFF13F6"/>
    <w:rsid w:val="A37C091D"/>
    <w:rsid w:val="AAFA4F44"/>
    <w:rsid w:val="AEDD7D98"/>
    <w:rsid w:val="AF6F1032"/>
    <w:rsid w:val="AFA3CB41"/>
    <w:rsid w:val="AFBB550F"/>
    <w:rsid w:val="AFBF4C25"/>
    <w:rsid w:val="AFFB5AB2"/>
    <w:rsid w:val="AFFF3269"/>
    <w:rsid w:val="B33F8528"/>
    <w:rsid w:val="B37F844A"/>
    <w:rsid w:val="B3B7242A"/>
    <w:rsid w:val="B3ED3102"/>
    <w:rsid w:val="B3EFF9B8"/>
    <w:rsid w:val="B4EF737B"/>
    <w:rsid w:val="B4FBED8F"/>
    <w:rsid w:val="B87F496C"/>
    <w:rsid w:val="B9FF0441"/>
    <w:rsid w:val="BB3DCC94"/>
    <w:rsid w:val="BB6F066C"/>
    <w:rsid w:val="BB7F1C66"/>
    <w:rsid w:val="BBF73BF3"/>
    <w:rsid w:val="BBF92E38"/>
    <w:rsid w:val="BBFE2DEA"/>
    <w:rsid w:val="BCB7EB57"/>
    <w:rsid w:val="BCBF5AD6"/>
    <w:rsid w:val="BD77DF96"/>
    <w:rsid w:val="BD9E249D"/>
    <w:rsid w:val="BDE8F60C"/>
    <w:rsid w:val="BF5FA4AE"/>
    <w:rsid w:val="BF5FACF3"/>
    <w:rsid w:val="BFBE5032"/>
    <w:rsid w:val="BFBF3C6B"/>
    <w:rsid w:val="BFCFF551"/>
    <w:rsid w:val="BFF6683B"/>
    <w:rsid w:val="BFFF30B2"/>
    <w:rsid w:val="BFFFE6DB"/>
    <w:rsid w:val="C5FFE228"/>
    <w:rsid w:val="C7B5DF74"/>
    <w:rsid w:val="CDEF3A45"/>
    <w:rsid w:val="CE7F1277"/>
    <w:rsid w:val="CFEF4EDE"/>
    <w:rsid w:val="CFFF51F4"/>
    <w:rsid w:val="D19F0550"/>
    <w:rsid w:val="D2FFE705"/>
    <w:rsid w:val="D766E008"/>
    <w:rsid w:val="D7B8F163"/>
    <w:rsid w:val="DAFDF8CA"/>
    <w:rsid w:val="DB2F80B5"/>
    <w:rsid w:val="DB9FE3B6"/>
    <w:rsid w:val="DD7E9B2A"/>
    <w:rsid w:val="DDD75844"/>
    <w:rsid w:val="DDEDE648"/>
    <w:rsid w:val="DDFDC188"/>
    <w:rsid w:val="DDFF73BD"/>
    <w:rsid w:val="DEFFC77F"/>
    <w:rsid w:val="DF570F6B"/>
    <w:rsid w:val="DFCF7EB8"/>
    <w:rsid w:val="DFEF962B"/>
    <w:rsid w:val="DFF3A971"/>
    <w:rsid w:val="DFF62659"/>
    <w:rsid w:val="E07C1D37"/>
    <w:rsid w:val="E3555338"/>
    <w:rsid w:val="E3F52F6A"/>
    <w:rsid w:val="E514D4BB"/>
    <w:rsid w:val="E7EFC9B2"/>
    <w:rsid w:val="E7F62AEB"/>
    <w:rsid w:val="E8FC6543"/>
    <w:rsid w:val="EAFF57E0"/>
    <w:rsid w:val="EBEF13BA"/>
    <w:rsid w:val="EBEF9B68"/>
    <w:rsid w:val="EBFA8DA0"/>
    <w:rsid w:val="EDE93858"/>
    <w:rsid w:val="EDFBA506"/>
    <w:rsid w:val="EDFE3EA1"/>
    <w:rsid w:val="EF71E5B1"/>
    <w:rsid w:val="EF7F651D"/>
    <w:rsid w:val="EF87F32E"/>
    <w:rsid w:val="EFA36752"/>
    <w:rsid w:val="EFBBEB5A"/>
    <w:rsid w:val="EFF55A45"/>
    <w:rsid w:val="EFF7C9D7"/>
    <w:rsid w:val="EFF9EECF"/>
    <w:rsid w:val="F1DFCA84"/>
    <w:rsid w:val="F22E690A"/>
    <w:rsid w:val="F3F7096F"/>
    <w:rsid w:val="F5E32F8D"/>
    <w:rsid w:val="F5FA95E6"/>
    <w:rsid w:val="F637662A"/>
    <w:rsid w:val="F6790AF1"/>
    <w:rsid w:val="F7BF7FC6"/>
    <w:rsid w:val="F7D2E564"/>
    <w:rsid w:val="F7DB3C6B"/>
    <w:rsid w:val="F7DE22BA"/>
    <w:rsid w:val="F7EB7F5B"/>
    <w:rsid w:val="F8BBE223"/>
    <w:rsid w:val="F8CAA6AF"/>
    <w:rsid w:val="F8F772A7"/>
    <w:rsid w:val="F99B9513"/>
    <w:rsid w:val="F9B79C33"/>
    <w:rsid w:val="F9BF8633"/>
    <w:rsid w:val="F9E612C1"/>
    <w:rsid w:val="FA7E077E"/>
    <w:rsid w:val="FAABD7F9"/>
    <w:rsid w:val="FAD7DC51"/>
    <w:rsid w:val="FB7EA144"/>
    <w:rsid w:val="FB8F3482"/>
    <w:rsid w:val="FBF794D2"/>
    <w:rsid w:val="FBFFDA9B"/>
    <w:rsid w:val="FBFFF68D"/>
    <w:rsid w:val="FC5AF487"/>
    <w:rsid w:val="FCD62AF6"/>
    <w:rsid w:val="FCDE8A7A"/>
    <w:rsid w:val="FCFA0ADF"/>
    <w:rsid w:val="FD77E81C"/>
    <w:rsid w:val="FDB7C9B4"/>
    <w:rsid w:val="FDF7A83F"/>
    <w:rsid w:val="FDFB0518"/>
    <w:rsid w:val="FDFC651B"/>
    <w:rsid w:val="FDFE1F6A"/>
    <w:rsid w:val="FDFF1178"/>
    <w:rsid w:val="FDFF9459"/>
    <w:rsid w:val="FDFFD107"/>
    <w:rsid w:val="FED67FC4"/>
    <w:rsid w:val="FEFE7EF2"/>
    <w:rsid w:val="FF3FDCAB"/>
    <w:rsid w:val="FF414A5F"/>
    <w:rsid w:val="FF717605"/>
    <w:rsid w:val="FF7B150B"/>
    <w:rsid w:val="FF7BF7F4"/>
    <w:rsid w:val="FF7E7C3E"/>
    <w:rsid w:val="FF931186"/>
    <w:rsid w:val="FFA70243"/>
    <w:rsid w:val="FFCB208C"/>
    <w:rsid w:val="FFCF162F"/>
    <w:rsid w:val="FFDF3DEC"/>
    <w:rsid w:val="FFEF149D"/>
    <w:rsid w:val="FFEFE4BA"/>
    <w:rsid w:val="FFF64EB4"/>
    <w:rsid w:val="FFF77A53"/>
    <w:rsid w:val="FFFA411A"/>
    <w:rsid w:val="FFFB4CD5"/>
    <w:rsid w:val="FFFF1A4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before="0" w:after="0"/>
      <w:ind w:left="0" w:right="0"/>
      <w:jc w:val="both"/>
    </w:pPr>
    <w:rPr>
      <w:rFonts w:ascii="Calibri" w:hAnsi="Calibri" w:eastAsia="宋体" w:cs="Times New Roman"/>
      <w:kern w:val="2"/>
      <w:sz w:val="21"/>
      <w:szCs w:val="24"/>
      <w:lang w:val="en-US" w:eastAsia="zh-CN" w:bidi="ar-SA"/>
    </w:rPr>
  </w:style>
  <w:style w:type="character" w:default="1" w:styleId="5">
    <w:name w:val="Default Paragraph Font"/>
    <w:uiPriority w:val="0"/>
    <w:rPr>
      <w:rFonts w:ascii="Calibri" w:hAnsi="Calibri" w:eastAsia="宋体" w:cs="Times New Roman"/>
      <w:sz w:val="21"/>
    </w:rPr>
  </w:style>
  <w:style w:type="table" w:default="1" w:styleId="4">
    <w:name w:val="Normal Table"/>
    <w:uiPriority w:val="0"/>
    <w:rPr>
      <w:rFonts w:ascii="Calibri" w:hAnsi="Calibri" w:eastAsia="宋体" w:cs="Times New Roman"/>
    </w:rPr>
    <w:tblPr>
      <w:tblStyle w:val="4"/>
      <w:tblCellMar>
        <w:top w:w="0" w:type="dxa"/>
        <w:left w:w="108" w:type="dxa"/>
        <w:bottom w:w="0" w:type="dxa"/>
        <w:right w:w="108" w:type="dxa"/>
      </w:tblCellMar>
    </w:tblPr>
  </w:style>
  <w:style w:type="paragraph" w:styleId="2">
    <w:name w:val="footer"/>
    <w:basedOn w:val="1"/>
    <w:uiPriority w:val="0"/>
    <w:pPr>
      <w:widowControl w:val="0"/>
      <w:tabs>
        <w:tab w:val="center" w:pos="4140"/>
        <w:tab w:val="right" w:pos="8300"/>
      </w:tabs>
      <w:snapToGrid w:val="0"/>
      <w:spacing w:before="0" w:after="0"/>
      <w:ind w:left="0" w:right="0"/>
      <w:jc w:val="left"/>
    </w:pPr>
    <w:rPr>
      <w:rFonts w:ascii="Calibri" w:hAnsi="Calibri" w:eastAsia="宋体" w:cs="Times New Roman"/>
      <w:kern w:val="2"/>
      <w:sz w:val="18"/>
      <w:szCs w:val="24"/>
      <w:lang w:val="en-US" w:eastAsia="zh-CN" w:bidi="ar-SA"/>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Strong"/>
    <w:basedOn w:val="5"/>
    <w:uiPriority w:val="0"/>
    <w:rPr>
      <w:rFonts w:ascii="Times New Roman" w:hAnsi="Times New Roman" w:eastAsia="宋体" w:cs="Times New Roman"/>
      <w:b/>
      <w:bCs/>
      <w:sz w:val="21"/>
    </w:rPr>
  </w:style>
  <w:style w:type="paragraph" w:styleId="7">
    <w:name w:val="List Paragraph"/>
    <w:basedOn w:val="1"/>
    <w:uiPriority w:val="0"/>
    <w:pPr>
      <w:ind w:firstLine="420" w:firstLineChars="200"/>
    </w:pPr>
    <w:rPr>
      <w:rFonts w:ascii="Calibri" w:hAnsi="Calibri" w:eastAsia="宋体" w:cs="Times New Roman"/>
    </w:rPr>
  </w:style>
  <w:style w:type="paragraph" w:customStyle="1" w:styleId="8">
    <w:name w:val="&quot;正文A&quot;"/>
    <w:basedOn w:val="1"/>
    <w:uiPriority w:val="0"/>
    <w:pPr>
      <w:widowControl w:val="0"/>
      <w:spacing w:before="0" w:after="0" w:line="540" w:lineRule="exact"/>
      <w:ind w:left="0" w:right="0" w:firstLine="400" w:firstLineChars="200"/>
      <w:jc w:val="both"/>
    </w:pPr>
    <w:rPr>
      <w:rFonts w:ascii="Calibri" w:hAnsi="Calibri" w:eastAsia="方正仿宋_GBK" w:cs="Times New Roman"/>
      <w:kern w:val="2"/>
      <w:sz w:val="32"/>
      <w:szCs w:val="24"/>
      <w:lang w:val="en-US" w:eastAsia="zh-CN" w:bidi="ar-SA"/>
    </w:rPr>
  </w:style>
  <w:style w:type="paragraph" w:customStyle="1" w:styleId="9">
    <w:name w:val="&quot;正文A&quot;1"/>
    <w:basedOn w:val="1"/>
    <w:uiPriority w:val="0"/>
    <w:pPr>
      <w:widowControl w:val="0"/>
      <w:spacing w:before="0" w:after="0" w:line="540" w:lineRule="exact"/>
      <w:ind w:left="0" w:right="0" w:firstLine="400" w:firstLineChars="200"/>
      <w:jc w:val="both"/>
    </w:pPr>
    <w:rPr>
      <w:rFonts w:ascii="Calibri" w:hAnsi="Calibri" w:eastAsia="方正仿宋_GBK" w:cs="Times New Roman"/>
      <w:kern w:val="2"/>
      <w:sz w:val="32"/>
      <w:szCs w:val="24"/>
      <w:lang w:val="en-US" w:eastAsia="zh-CN" w:bidi="ar-SA"/>
    </w:rPr>
  </w:style>
  <w:style w:type="paragraph" w:customStyle="1" w:styleId="10">
    <w:name w:val="&quot;正文A&quot;2"/>
    <w:basedOn w:val="1"/>
    <w:uiPriority w:val="0"/>
    <w:pPr>
      <w:widowControl w:val="0"/>
      <w:spacing w:before="0" w:after="0" w:line="540" w:lineRule="exact"/>
      <w:ind w:left="0" w:right="0" w:firstLine="400" w:firstLineChars="200"/>
      <w:jc w:val="both"/>
    </w:pPr>
    <w:rPr>
      <w:rFonts w:ascii="Calibri" w:hAnsi="Calibri" w:eastAsia="方正仿宋_GBK" w:cs="Times New Roman"/>
      <w:kern w:val="2"/>
      <w:sz w:val="32"/>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1914</Words>
  <Characters>1955</Characters>
  <Lines>0</Lines>
  <Paragraphs>0</Paragraphs>
  <TotalTime>9</TotalTime>
  <ScaleCrop>false</ScaleCrop>
  <LinksUpToDate>false</LinksUpToDate>
  <CharactersWithSpaces>1955</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2023-05-10T16:09:00Z</dcterms:created>
  <dc:creator>kylin</dc:creator>
  <cp:lastModifiedBy>kylin</cp:lastModifiedBy>
  <cp:lastPrinted>2023-12-21T06:15:26Z</cp:lastPrinted>
  <dcterms:modified xsi:type="dcterms:W3CDTF">2024-01-24T12:33:00Z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FCEF1193343601F1FC92B065052D98DC</vt:lpwstr>
  </property>
</Properties>
</file>