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jc w:val="center"/>
        <w:textAlignment w:val="auto"/>
        <w:rPr>
          <w:rFonts w:hint="eastAsia" w:ascii="方正小标宋_GBK" w:hAnsi="方正小标宋_GBK" w:eastAsia="方正小标宋_GBK" w:cs="方正小标宋_GBK"/>
          <w:kern w:val="0"/>
          <w:sz w:val="40"/>
          <w:szCs w:val="4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jc w:val="center"/>
        <w:textAlignment w:val="auto"/>
        <w:rPr>
          <w:rFonts w:hint="eastAsia" w:ascii="方正小标宋_GBK" w:hAnsi="方正小标宋_GBK" w:eastAsia="方正小标宋_GBK" w:cs="方正小标宋_GBK"/>
          <w:kern w:val="0"/>
          <w:sz w:val="40"/>
          <w:szCs w:val="4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jc w:val="center"/>
        <w:textAlignment w:val="auto"/>
        <w:rPr>
          <w:rFonts w:hint="eastAsia" w:ascii="方正小标宋_GBK" w:hAnsi="方正小标宋_GBK" w:eastAsia="方正小标宋_GBK" w:cs="方正小标宋_GBK"/>
          <w:kern w:val="0"/>
          <w:sz w:val="40"/>
          <w:szCs w:val="40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kern w:val="0"/>
          <w:sz w:val="40"/>
          <w:szCs w:val="40"/>
          <w:lang w:val="en-US" w:eastAsia="zh-CN"/>
        </w:rPr>
        <w:t>江苏省商务厅关于《江苏省商务领域行政处罚裁量权适用规定（试行）》的起草说明</w:t>
      </w:r>
    </w:p>
    <w:p>
      <w:pPr>
        <w:spacing w:line="587" w:lineRule="exact"/>
        <w:jc w:val="center"/>
        <w:rPr>
          <w:rFonts w:ascii="Times New Roman" w:hAnsi="Times New Roman" w:eastAsia="方正楷体_GBK" w:cs="Times New Roman"/>
          <w:sz w:val="32"/>
          <w:szCs w:val="32"/>
        </w:rPr>
      </w:pPr>
      <w:r>
        <w:rPr>
          <w:rFonts w:ascii="Times New Roman" w:hAnsi="Times New Roman" w:eastAsia="方正楷体_GBK" w:cs="Times New Roman"/>
          <w:sz w:val="32"/>
          <w:szCs w:val="32"/>
        </w:rPr>
        <w:t>（2023年</w:t>
      </w:r>
      <w:r>
        <w:rPr>
          <w:rFonts w:hint="default" w:ascii="Times New Roman" w:hAnsi="Times New Roman" w:eastAsia="方正楷体_GBK" w:cs="Times New Roman"/>
          <w:sz w:val="32"/>
          <w:szCs w:val="32"/>
          <w:lang w:val="en-US"/>
        </w:rPr>
        <w:t>9</w:t>
      </w:r>
      <w:r>
        <w:rPr>
          <w:rFonts w:hint="eastAsia" w:ascii="Times New Roman" w:hAnsi="Times New Roman" w:eastAsia="方正楷体_GBK" w:cs="Times New Roman"/>
          <w:sz w:val="32"/>
          <w:szCs w:val="32"/>
          <w:lang w:val="en-US" w:eastAsia="zh-CN"/>
        </w:rPr>
        <w:t>月</w:t>
      </w:r>
      <w:r>
        <w:rPr>
          <w:rFonts w:ascii="Times New Roman" w:hAnsi="Times New Roman" w:eastAsia="方正楷体_GBK" w:cs="Times New Roman"/>
          <w:sz w:val="32"/>
          <w:szCs w:val="32"/>
        </w:rPr>
        <w:t>）</w:t>
      </w:r>
    </w:p>
    <w:p>
      <w:pPr>
        <w:spacing w:line="587" w:lineRule="exact"/>
        <w:jc w:val="center"/>
        <w:rPr>
          <w:rFonts w:ascii="Times New Roman" w:hAnsi="Times New Roman" w:eastAsia="方正楷体_GBK" w:cs="Times New Roman"/>
          <w:sz w:val="32"/>
          <w:szCs w:val="32"/>
        </w:rPr>
      </w:pPr>
      <w:bookmarkStart w:id="4" w:name="_GoBack"/>
      <w:bookmarkEnd w:id="4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为贯彻落实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《国务院关于进一步规范行政裁量权基准制定和管理工作的意见》（国办发〔2022〕27号）和《省政府办公厅关于统筹推进行政裁量权基准制定和管理工作的通知》（苏政办发〔2023〕1号）规定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，我厅研究起草了《江苏省商务领域行政处罚裁量权适用规定（试行）》（以下简称《适用规定》），现将起草情况说明如下：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一、起草背景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党的二十大报告要求“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健全行政裁量基准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。国务院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《关于进一步规范行政裁量权基准制定和管理工作的意见》（国办发〔2022〕27号）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及省政府办公厅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Hans"/>
        </w:rPr>
        <w:t>《关于统筹推进行政裁量权基准制定和管理工作的通知》（苏政办发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〔202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Hans"/>
        </w:rPr>
        <w:t>1号），就建立健全行政裁量权基准制度作出全面、系统规定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Hans"/>
        </w:rPr>
        <w:t>要求到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2023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Hans"/>
        </w:rPr>
        <w:t>年底，普遍建立行政裁量权基准制度。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省委将其列入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2023年度高质量发展绩效考核目标任务。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为贯彻落实党的二十大精神，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规范行政处罚裁量权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更好保护市场主体和人民群众合法权益，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我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厅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研究起草了《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适用规定》。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起草过程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为做好起草工作，我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厅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委托专业律师团队，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收集了省内外商务领域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部分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行政处罚案例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，设计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向本省商务系统及相关企业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发放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了调查问卷。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我们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深入研究了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国务院及省政府办公厅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相关规定，收集掌握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本省相关部门及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外省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商务部门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行政裁量权基准制定的经验做法。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，赴南京和常州进行调研。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结合主题教育的要求，于5月赴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徐州、苏州、海南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进行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专项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调研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经多次讨论修改后形成</w:t>
      </w:r>
      <w:bookmarkStart w:id="0" w:name="_Hlk149489781"/>
      <w:r>
        <w:rPr>
          <w:rFonts w:hint="default" w:ascii="Times New Roman" w:hAnsi="Times New Roman" w:eastAsia="仿宋_GB2312" w:cs="Times New Roman"/>
          <w:sz w:val="32"/>
          <w:szCs w:val="32"/>
        </w:rPr>
        <w:t>《适用规定》</w:t>
      </w:r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初稿，于9月初向</w:t>
      </w:r>
      <w:bookmarkStart w:id="1" w:name="_Hlk149489509"/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厅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相关业务</w:t>
      </w:r>
      <w:bookmarkEnd w:id="1"/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处室、各设区市商务局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征求意见，并在厅网站向社会公众征集意见。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主要内容及亮点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（一）《适用规定》主要内容及亮点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《适用规定》共二十四条，主要规定了裁量因素、裁量阶次、不予处罚、从轻或减轻处罚、从重处罚、单处并处的适用规则、罚款的适用标准等。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明确适用范围。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根据本省商务行政执法工作实际，部分商务主管部门已将行政处罚权力移交市场监管部门行使，移交方式和移交的权力内容各地做法不一。针对该情况，对适用范围规定为“本省各级商务主管部门和其他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行使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商务领域行政执法权力的部门，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实施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商务领域行政处罚裁量权时，适用本规定。”同时，为防止出现权力事项不明或存在争议的情况，无明确的授权或划转文件依据时，应当以法律、法规、规章规定为准。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 xml:space="preserve"> 2、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明晰裁量因素。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对违法行为的事实、性质、情节以及主观过错程度进行进一步的细化，如违法行为危害的具体对象，实施违法行为的方法、手段，违法行为的持续时间、次数、社会影响程度等，明确在作出裁量时应当全面、综合考虑相关裁量因素。同时，对多个裁量因素并存如何适用进行了规定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 xml:space="preserve">  3、细化裁量阶次。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Hans"/>
        </w:rPr>
        <w:t>明确了酌定不予处罚的情形，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当事人初次违法且危害后果轻微并及时改正的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Hans"/>
        </w:rPr>
        <w:t>，酌定不予处罚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规定了不予处罚应进行教育，落实行政处罚法“处罚与教育相结合”的原则。对酌定从轻或减轻处罚、酌定从重处罚进行了规定。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 xml:space="preserve">  4、量化罚款幅度。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对罚款数额的从轻、一般、从重档次情形进行具体规定，严格限定在法定幅度内。罚款处罚有一定幅度的，设定</w:t>
      </w:r>
      <w:bookmarkStart w:id="2" w:name="_Hlk149497203"/>
      <w:bookmarkStart w:id="3" w:name="_Hlk149497319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30%和70%</w:t>
      </w:r>
      <w:bookmarkEnd w:id="2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为节点</w:t>
      </w:r>
      <w:bookmarkEnd w:id="3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，一方面借鉴各地做法，另一方面结合前期调查问卷反馈情况，以30%和70%为节点划分阶次。此外，对罚款的数额（倍数）是否包含本数进行了统一的规定。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（二）</w:t>
      </w: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《江苏省商务领域行政处罚裁量权基准》（下称《基准》）主要内容及亮点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《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适用规定》所附《基准》采用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一事项一表格体例，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包括处罚事项、法律依据、处罚种类及幅度、裁量阶次具体标准、适用条件、备注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。</w:t>
      </w:r>
    </w:p>
    <w:p>
      <w:pPr>
        <w:spacing w:line="360" w:lineRule="auto"/>
        <w:ind w:firstLine="642" w:firstLineChars="200"/>
        <w:rPr>
          <w:rFonts w:ascii="仿宋" w:hAnsi="仿宋" w:eastAsia="仿宋" w:cs="仿宋_GB2312"/>
          <w:color w:val="000000"/>
          <w:sz w:val="32"/>
          <w:szCs w:val="32"/>
          <w:lang w:eastAsia="zh-Hans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1、处罚事项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依法依规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《基准》以现行的本省商务系统行政权力清单内行政处罚事项为基础，对处罚的种类和幅度设定严格控制在法律、法规、规章规定的幅度范围内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；在法律依据方面，权力清单之外增补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《中华人民共和国外商投资法》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未明确商务系统职权或处罚种类无裁量空间则不予纳入。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另外，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Hans"/>
        </w:rPr>
        <w:t>《基准》还明确了酌定不予处罚的情形，同时起到“免罚清单”的作用。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2" w:firstLineChars="2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2、实践操作便捷高效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裁量基准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以表格形式设置，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既考虑了商务领域自身的实际情况，也便于地方对接市场监督行政处罚自由裁量相关规定，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结构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清晰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方便基层执法人员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检索。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同时，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eastAsia="zh-Hans"/>
        </w:rPr>
        <w:t>针对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eastAsia="zh-CN"/>
        </w:rPr>
        <w:t>需要特殊说明的处罚情况以及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eastAsia="zh-Hans"/>
        </w:rPr>
        <w:t>不属于行政处罚但在作出处罚的同时需要作出其他处理行为的，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eastAsia="zh-CN"/>
        </w:rPr>
        <w:t>在备注栏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eastAsia="zh-Hans"/>
        </w:rPr>
        <w:t>进行特别提示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eastAsia="zh-CN"/>
        </w:rPr>
        <w:t>，便于实际操作。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textAlignment w:val="auto"/>
        <w:rPr>
          <w:rFonts w:hint="default" w:ascii="Times New Roman" w:hAnsi="Times New Roman" w:cs="Times New Roman"/>
          <w:b/>
          <w:bCs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CEF0307"/>
    <w:multiLevelType w:val="singleLevel"/>
    <w:tmpl w:val="5CEF0307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62FDE55"/>
    <w:rsid w:val="1ABFE54C"/>
    <w:rsid w:val="1AFF6D9B"/>
    <w:rsid w:val="1B930D78"/>
    <w:rsid w:val="1FF75E8A"/>
    <w:rsid w:val="26FDEBFC"/>
    <w:rsid w:val="2CBDB560"/>
    <w:rsid w:val="2DB7E04C"/>
    <w:rsid w:val="2DE37AFA"/>
    <w:rsid w:val="2DFC38D0"/>
    <w:rsid w:val="2F6A448F"/>
    <w:rsid w:val="3BE5F61C"/>
    <w:rsid w:val="3CDD8BA1"/>
    <w:rsid w:val="3DEF3214"/>
    <w:rsid w:val="3DFE4404"/>
    <w:rsid w:val="3FC28535"/>
    <w:rsid w:val="3FED60D5"/>
    <w:rsid w:val="3FFE0B80"/>
    <w:rsid w:val="3FFE603C"/>
    <w:rsid w:val="3FFFC677"/>
    <w:rsid w:val="46B96BA3"/>
    <w:rsid w:val="46CF0416"/>
    <w:rsid w:val="4BBE5082"/>
    <w:rsid w:val="4FDF5865"/>
    <w:rsid w:val="4FFFF4C0"/>
    <w:rsid w:val="51FFE4E6"/>
    <w:rsid w:val="57EE9D3C"/>
    <w:rsid w:val="5BB73F9B"/>
    <w:rsid w:val="5BC7FCA4"/>
    <w:rsid w:val="5E3A0AEB"/>
    <w:rsid w:val="5EF4BB6A"/>
    <w:rsid w:val="5F7A6746"/>
    <w:rsid w:val="5F9B23C5"/>
    <w:rsid w:val="5FDE94EF"/>
    <w:rsid w:val="5FFB15A4"/>
    <w:rsid w:val="6BFF8619"/>
    <w:rsid w:val="6CFC9F95"/>
    <w:rsid w:val="6DDA7382"/>
    <w:rsid w:val="6EFF056F"/>
    <w:rsid w:val="6F76A15E"/>
    <w:rsid w:val="6FBEF18A"/>
    <w:rsid w:val="6FF1E05D"/>
    <w:rsid w:val="6FF1E97A"/>
    <w:rsid w:val="72F5B3A3"/>
    <w:rsid w:val="73FE7657"/>
    <w:rsid w:val="7669E76A"/>
    <w:rsid w:val="76FFB433"/>
    <w:rsid w:val="77636757"/>
    <w:rsid w:val="77D5BBE6"/>
    <w:rsid w:val="77F6B46B"/>
    <w:rsid w:val="77FE6EAF"/>
    <w:rsid w:val="77FECBD1"/>
    <w:rsid w:val="7A3FB873"/>
    <w:rsid w:val="7A7F29AD"/>
    <w:rsid w:val="7AB76869"/>
    <w:rsid w:val="7AFFBAD4"/>
    <w:rsid w:val="7B664666"/>
    <w:rsid w:val="7B792A43"/>
    <w:rsid w:val="7BA76FBC"/>
    <w:rsid w:val="7BF6C411"/>
    <w:rsid w:val="7C2D3583"/>
    <w:rsid w:val="7D5FB6FD"/>
    <w:rsid w:val="7DDDD9F0"/>
    <w:rsid w:val="7DEEAFA7"/>
    <w:rsid w:val="7DFA66DD"/>
    <w:rsid w:val="7E7F9B71"/>
    <w:rsid w:val="7EDEBB1D"/>
    <w:rsid w:val="7EF3A33E"/>
    <w:rsid w:val="7F9B63C0"/>
    <w:rsid w:val="7FBFEBFF"/>
    <w:rsid w:val="7FD74232"/>
    <w:rsid w:val="7FE3D12A"/>
    <w:rsid w:val="7FEB9E89"/>
    <w:rsid w:val="7FF62A0C"/>
    <w:rsid w:val="AC753925"/>
    <w:rsid w:val="AF7D0C9F"/>
    <w:rsid w:val="AFEB8E83"/>
    <w:rsid w:val="B13FC9D7"/>
    <w:rsid w:val="B2314878"/>
    <w:rsid w:val="B3556344"/>
    <w:rsid w:val="B3F1DBAA"/>
    <w:rsid w:val="B5EE6019"/>
    <w:rsid w:val="B9E36396"/>
    <w:rsid w:val="BB5BE6A5"/>
    <w:rsid w:val="BC9FA028"/>
    <w:rsid w:val="BDCB886A"/>
    <w:rsid w:val="BEDFD2A5"/>
    <w:rsid w:val="BF814B57"/>
    <w:rsid w:val="BFB6C959"/>
    <w:rsid w:val="BFC785EF"/>
    <w:rsid w:val="BFDFC9FB"/>
    <w:rsid w:val="BFEB1E1D"/>
    <w:rsid w:val="D2FD9DA9"/>
    <w:rsid w:val="D3EEF2CA"/>
    <w:rsid w:val="D7BC5788"/>
    <w:rsid w:val="D9FF80C0"/>
    <w:rsid w:val="DAE3C263"/>
    <w:rsid w:val="DCF7EBAF"/>
    <w:rsid w:val="DDBDBB75"/>
    <w:rsid w:val="DDDE8D99"/>
    <w:rsid w:val="DF7F5C36"/>
    <w:rsid w:val="DFB6FE10"/>
    <w:rsid w:val="DFDE732F"/>
    <w:rsid w:val="DFE86C32"/>
    <w:rsid w:val="DFF33280"/>
    <w:rsid w:val="E62FDE55"/>
    <w:rsid w:val="E6F3C52D"/>
    <w:rsid w:val="E7B3C9B3"/>
    <w:rsid w:val="E7B9EBA2"/>
    <w:rsid w:val="E7C0AC96"/>
    <w:rsid w:val="E9F5AF3C"/>
    <w:rsid w:val="E9FBB064"/>
    <w:rsid w:val="EBF62D6F"/>
    <w:rsid w:val="EBF6FA23"/>
    <w:rsid w:val="EBFF6C6E"/>
    <w:rsid w:val="ECC5C322"/>
    <w:rsid w:val="ED6FF3E3"/>
    <w:rsid w:val="EF3DA597"/>
    <w:rsid w:val="EFFD7246"/>
    <w:rsid w:val="F0EF1D4B"/>
    <w:rsid w:val="F2F1D8E2"/>
    <w:rsid w:val="F2FF5A4B"/>
    <w:rsid w:val="F3468BA0"/>
    <w:rsid w:val="F69E55AF"/>
    <w:rsid w:val="F771306D"/>
    <w:rsid w:val="F77E357C"/>
    <w:rsid w:val="F79F87D3"/>
    <w:rsid w:val="F7BEB35B"/>
    <w:rsid w:val="F7ED2ADF"/>
    <w:rsid w:val="F7FDA343"/>
    <w:rsid w:val="F9D8302E"/>
    <w:rsid w:val="FB7F5725"/>
    <w:rsid w:val="FBBF1009"/>
    <w:rsid w:val="FBDBC020"/>
    <w:rsid w:val="FBEF6D55"/>
    <w:rsid w:val="FBF78747"/>
    <w:rsid w:val="FCCD53D5"/>
    <w:rsid w:val="FDBF6F86"/>
    <w:rsid w:val="FDCF0C12"/>
    <w:rsid w:val="FDFD9366"/>
    <w:rsid w:val="FE7B8D0E"/>
    <w:rsid w:val="FF7F6D19"/>
    <w:rsid w:val="FF93704A"/>
    <w:rsid w:val="FF9EDD75"/>
    <w:rsid w:val="FFAD5AD7"/>
    <w:rsid w:val="FFAFDE6B"/>
    <w:rsid w:val="FFDA77A4"/>
    <w:rsid w:val="FFEE9A1D"/>
    <w:rsid w:val="FFEF60A2"/>
    <w:rsid w:val="FFF30D16"/>
    <w:rsid w:val="FFF7AA8D"/>
    <w:rsid w:val="FFFFAA7A"/>
    <w:rsid w:val="FFFFCBF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annotation reference"/>
    <w:basedOn w:val="5"/>
    <w:qFormat/>
    <w:uiPriority w:val="0"/>
    <w:rPr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281.666666666667</TotalTime>
  <ScaleCrop>false</ScaleCrop>
  <LinksUpToDate>false</LinksUpToDate>
  <CharactersWithSpaces>0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2023-11-10T17:27:00Z</dcterms:created>
  <dc:creator>kylin</dc:creator>
  <cp:lastModifiedBy>kylin</cp:lastModifiedBy>
  <cp:lastPrinted>2024-01-24T23:31:00Z</cp:lastPrinted>
  <dcterms:modified xsi:type="dcterms:W3CDTF">2024-01-24T16:11:43Z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6E7243907F269CC53FC6B065F89EAD9D</vt:lpwstr>
  </property>
</Properties>
</file>