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 w:cs="Times New Roman"/>
          <w:sz w:val="32"/>
          <w:szCs w:val="32"/>
        </w:rPr>
      </w:pPr>
      <w:bookmarkStart w:id="6" w:name="_GoBack"/>
      <w:bookmarkEnd w:id="6"/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>
      <w:pPr>
        <w:spacing w:line="580" w:lineRule="exact"/>
        <w:ind w:firstLine="880" w:firstLineChars="200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江苏省第十六批跨国公司地区总部和功能性机构名单</w:t>
      </w:r>
    </w:p>
    <w:p>
      <w:pPr>
        <w:spacing w:line="500" w:lineRule="exact"/>
        <w:jc w:val="center"/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spacing w:line="500" w:lineRule="exact"/>
        <w:jc w:val="center"/>
        <w:rPr>
          <w:rFonts w:ascii="方正小标宋_GBK" w:hAnsi="方正黑体_GBK" w:eastAsia="方正小标宋_GBK" w:cs="方正黑体_GBK"/>
          <w:sz w:val="32"/>
          <w:szCs w:val="32"/>
        </w:rPr>
      </w:pPr>
      <w:r>
        <w:rPr>
          <w:rFonts w:hint="eastAsia" w:ascii="方正小标宋_GBK" w:hAnsi="方正黑体_GBK" w:eastAsia="方正小标宋_GBK" w:cs="方正黑体_GBK"/>
          <w:sz w:val="32"/>
          <w:szCs w:val="32"/>
        </w:rPr>
        <w:t>跨国公司地区总部</w:t>
      </w:r>
    </w:p>
    <w:p>
      <w:pPr>
        <w:spacing w:line="500" w:lineRule="exact"/>
        <w:jc w:val="center"/>
        <w:rPr>
          <w:rFonts w:ascii="方正黑体_GBK" w:hAnsi="方正黑体_GBK" w:eastAsia="方正黑体_GBK" w:cs="方正黑体_GBK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6296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0" w:type="auto"/>
            <w:noWrap w:val="0"/>
            <w:vAlign w:val="center"/>
          </w:tcPr>
          <w:p>
            <w:pPr>
              <w:spacing w:line="500" w:lineRule="exact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bookmarkStart w:id="0" w:name="OLE_LINK15"/>
            <w:bookmarkStart w:id="1" w:name="OLE_LINK14"/>
            <w:bookmarkStart w:id="2" w:name="OLE_LINK6"/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法雷奥凯佩科液力变矩器（南京）有限公司</w:t>
            </w:r>
            <w:bookmarkEnd w:id="0"/>
            <w:bookmarkEnd w:id="1"/>
            <w:bookmarkEnd w:id="2"/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南京市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 xml:space="preserve">梅特勒-托利多（常州）测量技术有限公司 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常州市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森萨塔科技（常州）有限公司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常州市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谷轮环境科技（苏州）有限公司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科德宝.宝翎无纺布（苏州）有限公司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克朗斯机械（太仓）有限公司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苏州璨曜光电有限公司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伟创力电脑（苏州）有限公司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圣晖系统集成集团股份有限公司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西蒙电气（中国）有限公司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南通市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0" w:type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bookmarkStart w:id="3" w:name="OLE_LINK3"/>
            <w:bookmarkStart w:id="4" w:name="OLE_LINK4"/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创斯达科技（中国）集团股份公司</w:t>
            </w:r>
            <w:bookmarkEnd w:id="3"/>
            <w:bookmarkEnd w:id="4"/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南通市</w:t>
            </w:r>
          </w:p>
        </w:tc>
      </w:tr>
    </w:tbl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br w:type="page"/>
      </w:r>
    </w:p>
    <w:p>
      <w:pPr>
        <w:spacing w:line="500" w:lineRule="exact"/>
        <w:jc w:val="center"/>
        <w:rPr>
          <w:rFonts w:ascii="方正小标宋_GBK" w:hAnsi="方正黑体_GBK" w:eastAsia="方正小标宋_GBK" w:cs="方正黑体_GBK"/>
          <w:sz w:val="32"/>
          <w:szCs w:val="32"/>
        </w:rPr>
      </w:pPr>
      <w:r>
        <w:rPr>
          <w:rFonts w:hint="eastAsia" w:ascii="方正小标宋_GBK" w:hAnsi="方正黑体_GBK" w:eastAsia="方正小标宋_GBK" w:cs="方正黑体_GBK"/>
          <w:sz w:val="32"/>
          <w:szCs w:val="32"/>
        </w:rPr>
        <w:t>跨国公司功能性机构</w:t>
      </w:r>
    </w:p>
    <w:p>
      <w:pPr>
        <w:spacing w:line="400" w:lineRule="exact"/>
        <w:jc w:val="center"/>
        <w:rPr>
          <w:rFonts w:ascii="方正黑体_GBK" w:hAnsi="方正黑体_GBK" w:eastAsia="方正黑体_GBK" w:cs="方正黑体_GBK"/>
          <w:sz w:val="32"/>
          <w:szCs w:val="32"/>
        </w:r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95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bookmarkStart w:id="5" w:name="OLE_LINK7"/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捷普电子（无锡）有限公司</w:t>
            </w:r>
            <w:bookmarkEnd w:id="5"/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无锡市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麦格纳汽车系统（苏州）有限公司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马勒汽车技术（苏州）有限公司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普玛宝钣金设备（苏州）有限公司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乐家洁具（苏州）有限公司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苏州市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鼎镁新材料科技股份有限公司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苏州市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F2021"/>
    <w:rsid w:val="696F2021"/>
    <w:rsid w:val="77FD675C"/>
    <w:rsid w:val="DE4D912B"/>
    <w:rsid w:val="F72FEE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6.33333333333333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2025-12-25T23:07:00Z</dcterms:created>
  <dc:creator>kylin</dc:creator>
  <cp:lastModifiedBy>kylin</cp:lastModifiedBy>
  <dcterms:modified xsi:type="dcterms:W3CDTF">2025-12-26T11:18:02Z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