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87" w:lineRule="exact"/>
        <w:jc w:val="both"/>
        <w:textAlignment w:val="auto"/>
        <w:rPr>
          <w:rFonts w:hint="eastAsia" w:ascii="方正仿宋_GBK" w:hAnsi="方正仿宋_GBK" w:eastAsia="方正仿宋_GBK" w:cs="方正仿宋_GBK"/>
          <w:sz w:val="44"/>
          <w:szCs w:val="44"/>
          <w:lang w:eastAsia="zh-CN"/>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87"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关于《江苏老字号示范创建管理办法</w:t>
      </w:r>
    </w:p>
    <w:p>
      <w:pPr>
        <w:keepNext w:val="0"/>
        <w:keepLines w:val="0"/>
        <w:pageBreakBefore w:val="0"/>
        <w:widowControl w:val="0"/>
        <w:kinsoku/>
        <w:wordWrap/>
        <w:overflowPunct/>
        <w:topLinePunct w:val="0"/>
        <w:autoSpaceDE/>
        <w:autoSpaceDN/>
        <w:bidi w:val="0"/>
        <w:adjustRightInd/>
        <w:snapToGrid/>
        <w:spacing w:line="587" w:lineRule="exact"/>
        <w:jc w:val="center"/>
        <w:textAlignment w:val="auto"/>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（征求意见稿）》的起草说明</w:t>
      </w:r>
    </w:p>
    <w:p>
      <w:pPr>
        <w:keepNext w:val="0"/>
        <w:keepLines w:val="0"/>
        <w:pageBreakBefore w:val="0"/>
        <w:widowControl w:val="0"/>
        <w:kinsoku/>
        <w:wordWrap/>
        <w:overflowPunct/>
        <w:topLinePunct w:val="0"/>
        <w:autoSpaceDE/>
        <w:autoSpaceDN/>
        <w:bidi w:val="0"/>
        <w:adjustRightInd/>
        <w:snapToGrid/>
        <w:spacing w:line="587" w:lineRule="exact"/>
        <w:jc w:val="center"/>
        <w:textAlignment w:val="auto"/>
        <w:rPr>
          <w:rFonts w:hint="eastAsia" w:ascii="方正仿宋_GBK" w:hAnsi="方正仿宋_GBK" w:eastAsia="方正仿宋_GBK" w:cs="方正仿宋_GBK"/>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7" w:lineRule="exact"/>
        <w:ind w:firstLine="640" w:firstLineChars="200"/>
        <w:jc w:val="both"/>
        <w:textAlignment w:val="auto"/>
        <w:rPr>
          <w:rFonts w:hint="default" w:ascii="Times New Roman" w:hAnsi="Times New Roman" w:eastAsia="方正仿宋_GBK" w:cs="Times New Roman"/>
          <w:sz w:val="32"/>
          <w:szCs w:val="32"/>
          <w:lang w:eastAsia="zh-CN"/>
        </w:rPr>
      </w:pPr>
      <w:r>
        <w:rPr>
          <w:rFonts w:hint="eastAsia" w:ascii="Times New Roman" w:hAnsi="Times New Roman" w:eastAsia="方正仿宋_GBK" w:cs="Times New Roman"/>
          <w:sz w:val="32"/>
          <w:szCs w:val="32"/>
          <w:lang w:val="en-US" w:eastAsia="zh-CN"/>
        </w:rPr>
        <w:t>2023年1月</w:t>
      </w:r>
      <w:r>
        <w:rPr>
          <w:rFonts w:hint="default" w:ascii="Times New Roman" w:hAnsi="Times New Roman" w:eastAsia="方正仿宋_GBK" w:cs="Times New Roman"/>
          <w:sz w:val="32"/>
          <w:szCs w:val="32"/>
          <w:lang w:val="en-US" w:eastAsia="zh-CN"/>
        </w:rPr>
        <w:t>，商务部等5部门联合印发《中华老字号示范创建管理办法》（商流通规发〔2023〕6号），明确了对现有中华老字号复核的管理要求和新一轮中华老字号认定的管理办法</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lang w:eastAsia="zh-CN"/>
        </w:rPr>
        <w:t>为进一步促进江苏老字号传承保护和创新发展，和中华老字号形成梯度培育机制，</w:t>
      </w:r>
      <w:r>
        <w:rPr>
          <w:rFonts w:hint="eastAsia" w:ascii="Times New Roman" w:hAnsi="Times New Roman" w:eastAsia="方正仿宋_GBK" w:cs="Times New Roman"/>
          <w:sz w:val="32"/>
          <w:szCs w:val="32"/>
          <w:lang w:eastAsia="zh-CN"/>
        </w:rPr>
        <w:t>省商务厅会同省文化和旅游、市场监管、文物、知识产权等部门，组织起草了《江苏老字号示范创建管理办法（征求意见稿）》（以下简称</w:t>
      </w:r>
      <w:r>
        <w:rPr>
          <w:rFonts w:hint="default" w:ascii="Times New Roman" w:hAnsi="Times New Roman" w:eastAsia="方正仿宋_GBK" w:cs="Times New Roman"/>
          <w:sz w:val="32"/>
          <w:szCs w:val="32"/>
          <w:lang w:eastAsia="zh-CN"/>
        </w:rPr>
        <w:t>《管理办法》</w:t>
      </w:r>
      <w:r>
        <w:rPr>
          <w:rFonts w:hint="eastAsia" w:ascii="Times New Roman" w:hAnsi="Times New Roman" w:eastAsia="方正仿宋_GBK" w:cs="Times New Roman"/>
          <w:sz w:val="32"/>
          <w:szCs w:val="32"/>
          <w:lang w:eastAsia="zh-CN"/>
        </w:rPr>
        <w:t>），现将有关情况说明如下：</w:t>
      </w:r>
    </w:p>
    <w:p>
      <w:pPr>
        <w:keepNext w:val="0"/>
        <w:keepLines w:val="0"/>
        <w:pageBreakBefore w:val="0"/>
        <w:widowControl w:val="0"/>
        <w:numPr>
          <w:ilvl w:val="0"/>
          <w:numId w:val="0"/>
        </w:numPr>
        <w:kinsoku/>
        <w:wordWrap/>
        <w:overflowPunct/>
        <w:topLinePunct w:val="0"/>
        <w:autoSpaceDE/>
        <w:autoSpaceDN/>
        <w:bidi w:val="0"/>
        <w:adjustRightInd/>
        <w:snapToGrid/>
        <w:spacing w:line="587" w:lineRule="exact"/>
        <w:ind w:firstLine="640" w:firstLineChars="200"/>
        <w:jc w:val="left"/>
        <w:textAlignment w:val="auto"/>
        <w:rPr>
          <w:rFonts w:hint="eastAsia" w:ascii="Times New Roman" w:hAnsi="Times New Roman" w:eastAsia="方正仿宋_GBK" w:cs="Times New Roman"/>
          <w:sz w:val="32"/>
          <w:szCs w:val="32"/>
          <w:lang w:eastAsia="zh-CN"/>
        </w:rPr>
      </w:pPr>
      <w:r>
        <w:rPr>
          <w:rFonts w:hint="eastAsia" w:ascii="方正黑体_GBK" w:hAnsi="方正黑体_GBK" w:eastAsia="方正黑体_GBK" w:cs="方正黑体_GBK"/>
          <w:sz w:val="32"/>
          <w:szCs w:val="32"/>
          <w:lang w:eastAsia="zh-CN"/>
        </w:rPr>
        <w:t>一、《管理办法》起草过程</w:t>
      </w:r>
    </w:p>
    <w:p>
      <w:pPr>
        <w:keepNext w:val="0"/>
        <w:keepLines w:val="0"/>
        <w:pageBreakBefore w:val="0"/>
        <w:widowControl w:val="0"/>
        <w:numPr>
          <w:ilvl w:val="0"/>
          <w:numId w:val="0"/>
        </w:numPr>
        <w:kinsoku/>
        <w:wordWrap/>
        <w:overflowPunct/>
        <w:topLinePunct w:val="0"/>
        <w:autoSpaceDE/>
        <w:autoSpaceDN/>
        <w:bidi w:val="0"/>
        <w:adjustRightInd/>
        <w:snapToGrid/>
        <w:spacing w:line="587" w:lineRule="exact"/>
        <w:ind w:firstLine="640" w:firstLineChars="200"/>
        <w:jc w:val="left"/>
        <w:textAlignment w:val="auto"/>
        <w:rPr>
          <w:rFonts w:hint="eastAsia" w:ascii="方正仿宋_GBK" w:hAnsi="方正仿宋_GBK" w:eastAsia="方正仿宋_GBK" w:cs="方正仿宋_GBK"/>
          <w:sz w:val="32"/>
          <w:szCs w:val="32"/>
        </w:rPr>
      </w:pPr>
      <w:r>
        <w:rPr>
          <w:rFonts w:hint="eastAsia" w:ascii="方正仿宋_GBK" w:hAnsi="方正仿宋_GBK" w:eastAsia="方正仿宋_GBK" w:cs="方正仿宋_GBK"/>
          <w:sz w:val="32"/>
          <w:szCs w:val="32"/>
          <w:lang w:val="en-US" w:eastAsia="zh-CN"/>
        </w:rPr>
        <w:t>《中华老字号示范创建管理办法》印发后，省商务厅立即会同</w:t>
      </w:r>
      <w:r>
        <w:rPr>
          <w:rFonts w:hint="eastAsia" w:ascii="Times New Roman" w:hAnsi="Times New Roman" w:eastAsia="方正仿宋_GBK" w:cs="Times New Roman"/>
          <w:sz w:val="32"/>
          <w:szCs w:val="32"/>
          <w:lang w:eastAsia="zh-CN"/>
        </w:rPr>
        <w:t>省文化和旅游、市场监管、文物、知识产权等部门，研究起草《管理办法》。起草过程中，</w:t>
      </w:r>
      <w:r>
        <w:rPr>
          <w:rFonts w:hint="eastAsia" w:ascii="方正仿宋_GBK" w:hAnsi="方正仿宋_GBK" w:eastAsia="方正仿宋_GBK" w:cs="方正仿宋_GBK"/>
          <w:sz w:val="32"/>
          <w:szCs w:val="32"/>
          <w:lang w:val="en-US" w:eastAsia="zh-CN"/>
        </w:rPr>
        <w:t>多次向商务部汇报，研究学习商务部对中华老字号示范创建工作的整体思路和具体要求；学习借鉴兄弟省市的经验和做法；聚焦老字号管理工作中的非遗传承、品牌、字号、商标等问题，加强学习和研究；与各市商务部门、行业协会、老字号企业交流，结合江苏老字号发展现状，充分采纳合理意见和建议，不断完善，</w:t>
      </w:r>
      <w:r>
        <w:rPr>
          <w:rFonts w:hint="default" w:ascii="Times New Roman" w:hAnsi="Times New Roman" w:eastAsia="方正仿宋_GBK" w:cs="Times New Roman"/>
          <w:sz w:val="32"/>
          <w:szCs w:val="32"/>
        </w:rPr>
        <w:t>形成</w:t>
      </w:r>
      <w:r>
        <w:rPr>
          <w:rFonts w:hint="eastAsia" w:ascii="Times New Roman" w:hAnsi="Times New Roman" w:eastAsia="方正仿宋_GBK" w:cs="Times New Roman"/>
          <w:sz w:val="32"/>
          <w:szCs w:val="32"/>
          <w:lang w:eastAsia="zh-CN"/>
        </w:rPr>
        <w:t>了</w:t>
      </w: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lang w:eastAsia="zh-CN"/>
        </w:rPr>
        <w:t>管理办法</w:t>
      </w: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lang w:val="en-US" w:eastAsia="zh-CN"/>
        </w:rPr>
        <w:t>征求意见稿。</w:t>
      </w:r>
    </w:p>
    <w:p>
      <w:pPr>
        <w:keepNext w:val="0"/>
        <w:keepLines w:val="0"/>
        <w:pageBreakBefore w:val="0"/>
        <w:widowControl w:val="0"/>
        <w:numPr>
          <w:ilvl w:val="0"/>
          <w:numId w:val="0"/>
        </w:numPr>
        <w:kinsoku/>
        <w:wordWrap/>
        <w:overflowPunct/>
        <w:topLinePunct w:val="0"/>
        <w:autoSpaceDE/>
        <w:autoSpaceDN/>
        <w:bidi w:val="0"/>
        <w:adjustRightInd/>
        <w:snapToGrid/>
        <w:spacing w:line="587" w:lineRule="exact"/>
        <w:ind w:firstLine="640" w:firstLineChars="200"/>
        <w:jc w:val="left"/>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二、《管理办法》主要特点</w:t>
      </w:r>
    </w:p>
    <w:p>
      <w:pPr>
        <w:spacing w:line="560" w:lineRule="exact"/>
        <w:ind w:firstLine="640" w:firstLineChars="200"/>
        <w:jc w:val="left"/>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z w:val="32"/>
          <w:szCs w:val="32"/>
          <w:lang w:eastAsia="zh-CN"/>
        </w:rPr>
        <w:t>管理</w:t>
      </w:r>
      <w:r>
        <w:rPr>
          <w:rFonts w:hint="eastAsia" w:ascii="方正仿宋_GBK" w:hAnsi="方正仿宋_GBK" w:eastAsia="方正仿宋_GBK" w:cs="方正仿宋_GBK"/>
          <w:sz w:val="32"/>
          <w:szCs w:val="32"/>
        </w:rPr>
        <w:t>办法》立足于江苏</w:t>
      </w:r>
      <w:r>
        <w:rPr>
          <w:rFonts w:hint="eastAsia" w:ascii="方正仿宋_GBK" w:hAnsi="方正仿宋_GBK" w:eastAsia="方正仿宋_GBK" w:cs="方正仿宋_GBK"/>
          <w:sz w:val="32"/>
          <w:szCs w:val="32"/>
          <w:lang w:val="en-US" w:eastAsia="zh-CN"/>
        </w:rPr>
        <w:t>商贸流通发展实际，致力于培育在商贸流通、消费促进、质量管理、技术创新、品牌建设、文化传承、公共服务等方面能较好发挥示范引领作用的江苏老字号。</w:t>
      </w:r>
    </w:p>
    <w:p>
      <w:pPr>
        <w:keepNext w:val="0"/>
        <w:keepLines w:val="0"/>
        <w:pageBreakBefore w:val="0"/>
        <w:widowControl/>
        <w:kinsoku/>
        <w:wordWrap/>
        <w:overflowPunct/>
        <w:topLinePunct w:val="0"/>
        <w:autoSpaceDE/>
        <w:bidi w:val="0"/>
        <w:adjustRightInd/>
        <w:snapToGrid/>
        <w:spacing w:line="587" w:lineRule="exact"/>
        <w:ind w:firstLine="640"/>
        <w:jc w:val="left"/>
        <w:rPr>
          <w:rFonts w:hint="eastAsia" w:ascii="方正仿宋_GBK" w:hAnsi="方正仿宋_GBK" w:eastAsia="方正仿宋_GBK" w:cs="方正仿宋_GBK"/>
          <w:bCs/>
          <w:sz w:val="32"/>
          <w:szCs w:val="32"/>
          <w:lang w:eastAsia="zh-CN"/>
        </w:rPr>
      </w:pPr>
      <w:r>
        <w:rPr>
          <w:rFonts w:hint="eastAsia" w:ascii="方正楷体_GBK" w:hAnsi="方正楷体_GBK" w:eastAsia="方正楷体_GBK" w:cs="方正楷体_GBK"/>
          <w:sz w:val="32"/>
          <w:szCs w:val="32"/>
          <w:lang w:eastAsia="zh-CN"/>
        </w:rPr>
        <w:t>一是明确了工作要求。</w:t>
      </w: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bCs/>
          <w:sz w:val="32"/>
          <w:szCs w:val="32"/>
          <w:lang w:eastAsia="zh-CN"/>
        </w:rPr>
        <w:t>管理办法》明确了开展江苏老字号示范创建工作应遵循“自愿申报、自主创建、优中择优、动态管理”的原则，确定了省商务主管部门、各设区市商务主管部门在老字号认定、管理、服务、指导等方面的职责和分工。</w:t>
      </w:r>
    </w:p>
    <w:p>
      <w:pPr>
        <w:spacing w:line="560" w:lineRule="exact"/>
        <w:ind w:firstLine="640" w:firstLineChars="200"/>
        <w:rPr>
          <w:rFonts w:hint="eastAsia" w:ascii="方正仿宋_GBK" w:hAnsi="方正仿宋_GBK" w:eastAsia="方正仿宋_GBK" w:cs="方正仿宋_GBK"/>
          <w:bCs/>
          <w:sz w:val="32"/>
          <w:szCs w:val="32"/>
          <w:lang w:val="en-US" w:eastAsia="zh-CN"/>
        </w:rPr>
      </w:pPr>
      <w:r>
        <w:rPr>
          <w:rFonts w:hint="eastAsia" w:ascii="方正楷体_GBK" w:hAnsi="方正楷体_GBK" w:eastAsia="方正楷体_GBK" w:cs="方正楷体_GBK"/>
          <w:sz w:val="32"/>
          <w:szCs w:val="32"/>
          <w:lang w:eastAsia="zh-CN"/>
        </w:rPr>
        <w:t>二是体现了江苏特色。</w:t>
      </w:r>
      <w:r>
        <w:rPr>
          <w:rFonts w:hint="eastAsia" w:ascii="方正仿宋_GBK" w:hAnsi="方正仿宋_GBK" w:eastAsia="方正仿宋_GBK" w:cs="方正仿宋_GBK"/>
          <w:bCs/>
          <w:sz w:val="32"/>
          <w:szCs w:val="32"/>
          <w:lang w:eastAsia="zh-CN"/>
        </w:rPr>
        <w:t>对比《中华老字号示范创建管理办法》，将江苏老字号品牌创立时间</w:t>
      </w:r>
      <w:r>
        <w:rPr>
          <w:rFonts w:hint="default" w:ascii="Times New Roman" w:hAnsi="Times New Roman" w:eastAsia="方正仿宋_GBK" w:cs="Times New Roman"/>
          <w:bCs/>
          <w:sz w:val="32"/>
          <w:szCs w:val="32"/>
          <w:lang w:eastAsia="zh-CN"/>
        </w:rPr>
        <w:t>缩短到</w:t>
      </w:r>
      <w:r>
        <w:rPr>
          <w:rFonts w:hint="default" w:ascii="Times New Roman" w:hAnsi="Times New Roman" w:eastAsia="方正仿宋_GBK" w:cs="Times New Roman"/>
          <w:bCs/>
          <w:sz w:val="32"/>
          <w:szCs w:val="32"/>
          <w:lang w:val="en-US" w:eastAsia="zh-CN"/>
        </w:rPr>
        <w:t>40年（</w:t>
      </w:r>
      <w:r>
        <w:rPr>
          <w:rFonts w:hint="eastAsia" w:ascii="方正仿宋_GBK" w:hAnsi="方正仿宋_GBK" w:eastAsia="方正仿宋_GBK" w:cs="方正仿宋_GBK"/>
          <w:bCs/>
          <w:sz w:val="32"/>
          <w:szCs w:val="32"/>
          <w:lang w:val="en-US" w:eastAsia="zh-CN"/>
        </w:rPr>
        <w:t>含）以上。采纳相关部门建议，对江苏老字号提出了重视商标专用权和独占许可使用权、重视档案管理、重视文物保护、主动承担社会责任等要求。强调对“近三年发生重大及以上安全生产事故”一票否决。</w:t>
      </w:r>
    </w:p>
    <w:p>
      <w:pPr>
        <w:spacing w:line="560" w:lineRule="exact"/>
        <w:ind w:firstLine="640" w:firstLineChars="200"/>
        <w:rPr>
          <w:rFonts w:hint="eastAsia" w:ascii="方正仿宋_GBK" w:hAnsi="方正仿宋_GBK" w:eastAsia="方正仿宋_GBK" w:cs="方正仿宋_GBK"/>
          <w:bCs/>
          <w:sz w:val="32"/>
          <w:szCs w:val="32"/>
          <w:lang w:eastAsia="zh-CN"/>
        </w:rPr>
      </w:pPr>
      <w:r>
        <w:rPr>
          <w:rFonts w:hint="eastAsia" w:ascii="方正楷体_GBK" w:hAnsi="方正楷体_GBK" w:eastAsia="方正楷体_GBK" w:cs="方正楷体_GBK"/>
          <w:sz w:val="32"/>
          <w:szCs w:val="32"/>
          <w:lang w:eastAsia="zh-CN"/>
        </w:rPr>
        <w:t>三是确定了示范条件。</w:t>
      </w:r>
      <w:r>
        <w:rPr>
          <w:rFonts w:hint="eastAsia" w:ascii="方正仿宋_GBK" w:hAnsi="方正仿宋_GBK" w:eastAsia="方正仿宋_GBK" w:cs="方正仿宋_GBK"/>
          <w:bCs/>
          <w:sz w:val="32"/>
          <w:szCs w:val="32"/>
          <w:lang w:eastAsia="zh-CN"/>
        </w:rPr>
        <w:t>《管理办法》坚持定性与定量相结合，明确了江苏老字号应具备的基本条件和示范要求，同时体现认定程序的规范性、客观性和可操作性。《管理办法》的附件对江苏老字号标识和牌匾的使用作出规定。</w:t>
      </w:r>
    </w:p>
    <w:p>
      <w:pPr>
        <w:spacing w:line="560" w:lineRule="exact"/>
        <w:ind w:firstLine="640" w:firstLineChars="200"/>
        <w:rPr>
          <w:rFonts w:hint="eastAsia" w:ascii="方正仿宋_GBK" w:hAnsi="方正仿宋_GBK" w:eastAsia="方正仿宋_GBK" w:cs="方正仿宋_GBK"/>
          <w:bCs/>
          <w:sz w:val="32"/>
          <w:szCs w:val="32"/>
          <w:lang w:eastAsia="zh-CN"/>
        </w:rPr>
      </w:pPr>
      <w:r>
        <w:rPr>
          <w:rFonts w:hint="eastAsia" w:ascii="方正楷体_GBK" w:hAnsi="方正楷体_GBK" w:eastAsia="方正楷体_GBK" w:cs="方正楷体_GBK"/>
          <w:sz w:val="32"/>
          <w:szCs w:val="32"/>
          <w:lang w:eastAsia="zh-CN"/>
        </w:rPr>
        <w:t>四是强化了动态管理。</w:t>
      </w:r>
      <w:r>
        <w:rPr>
          <w:rFonts w:hint="eastAsia" w:ascii="方正仿宋_GBK" w:hAnsi="方正仿宋_GBK" w:eastAsia="方正仿宋_GBK" w:cs="方正仿宋_GBK"/>
          <w:bCs/>
          <w:sz w:val="32"/>
          <w:szCs w:val="32"/>
          <w:lang w:eastAsia="zh-CN"/>
        </w:rPr>
        <w:t>《管理办法》明确了在持续开展认定的同时，建立“有进有出”的动态管理机制</w:t>
      </w:r>
      <w:r>
        <w:rPr>
          <w:rFonts w:hint="eastAsia" w:ascii="方正仿宋_GBK" w:hAnsi="方正仿宋_GBK" w:eastAsia="方正仿宋_GBK" w:cs="方正仿宋_GBK"/>
          <w:bCs/>
          <w:sz w:val="32"/>
          <w:szCs w:val="32"/>
          <w:lang w:val="en-US" w:eastAsia="zh-CN"/>
        </w:rPr>
        <w:t>。建立年报报送机制、加强监测管理和发展评估、定期开展复核，</w:t>
      </w:r>
      <w:r>
        <w:rPr>
          <w:rFonts w:hint="eastAsia" w:ascii="方正仿宋_GBK" w:hAnsi="方正仿宋_GBK" w:eastAsia="方正仿宋_GBK" w:cs="方正仿宋_GBK"/>
          <w:bCs/>
          <w:sz w:val="32"/>
          <w:szCs w:val="32"/>
          <w:lang w:eastAsia="zh-CN"/>
        </w:rPr>
        <w:t>对拒不履行相关义务、出现违法违规行为的</w:t>
      </w:r>
      <w:r>
        <w:rPr>
          <w:rFonts w:hint="eastAsia" w:ascii="方正仿宋_GBK" w:hAnsi="方正仿宋_GBK" w:eastAsia="方正仿宋_GBK" w:cs="方正仿宋_GBK"/>
          <w:bCs/>
          <w:sz w:val="32"/>
          <w:szCs w:val="32"/>
          <w:lang w:val="en-US" w:eastAsia="zh-CN"/>
        </w:rPr>
        <w:t>江苏老字号</w:t>
      </w:r>
      <w:r>
        <w:rPr>
          <w:rFonts w:hint="eastAsia" w:ascii="方正仿宋_GBK" w:hAnsi="方正仿宋_GBK" w:eastAsia="方正仿宋_GBK" w:cs="方正仿宋_GBK"/>
          <w:bCs/>
          <w:sz w:val="32"/>
          <w:szCs w:val="32"/>
          <w:lang w:eastAsia="zh-CN"/>
        </w:rPr>
        <w:t>，将分门别类采取约谈整改、暂停权益、直至移出名录的管理措施，形成管理闭环。</w:t>
      </w:r>
    </w:p>
    <w:p>
      <w:pPr>
        <w:keepNext w:val="0"/>
        <w:keepLines w:val="0"/>
        <w:pageBreakBefore w:val="0"/>
        <w:widowControl w:val="0"/>
        <w:numPr>
          <w:ilvl w:val="0"/>
          <w:numId w:val="0"/>
        </w:numPr>
        <w:kinsoku/>
        <w:wordWrap/>
        <w:overflowPunct/>
        <w:topLinePunct w:val="0"/>
        <w:autoSpaceDE/>
        <w:autoSpaceDN/>
        <w:bidi w:val="0"/>
        <w:adjustRightInd/>
        <w:snapToGrid/>
        <w:spacing w:line="587" w:lineRule="exact"/>
        <w:ind w:firstLine="640" w:firstLineChars="200"/>
        <w:jc w:val="left"/>
        <w:textAlignment w:val="auto"/>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三、主要内容</w:t>
      </w:r>
    </w:p>
    <w:p>
      <w:pPr>
        <w:widowControl/>
        <w:autoSpaceDE w:val="0"/>
        <w:autoSpaceDN w:val="0"/>
        <w:adjustRightInd w:val="0"/>
        <w:spacing w:line="560" w:lineRule="exact"/>
        <w:ind w:firstLine="640" w:firstLineChars="200"/>
        <w:rPr>
          <w:rFonts w:hint="eastAsia" w:ascii="方正楷体_GBK" w:hAnsi="方正楷体_GBK" w:eastAsia="方正楷体_GBK" w:cs="方正楷体_GBK"/>
          <w:sz w:val="32"/>
          <w:szCs w:val="32"/>
          <w:lang w:val="en-US" w:eastAsia="zh-CN"/>
        </w:rPr>
      </w:pPr>
      <w:r>
        <w:rPr>
          <w:rFonts w:hint="eastAsia" w:ascii="方正楷体_GBK" w:hAnsi="方正楷体_GBK" w:eastAsia="方正楷体_GBK" w:cs="方正楷体_GBK"/>
          <w:sz w:val="32"/>
          <w:szCs w:val="32"/>
          <w:lang w:val="en-US" w:eastAsia="zh-CN"/>
        </w:rPr>
        <w:t>目前，《管</w:t>
      </w:r>
      <w:r>
        <w:rPr>
          <w:rFonts w:hint="default" w:ascii="Times New Roman" w:hAnsi="Times New Roman" w:eastAsia="方正楷体_GBK" w:cs="Times New Roman"/>
          <w:sz w:val="32"/>
          <w:szCs w:val="32"/>
          <w:lang w:val="en-US" w:eastAsia="zh-CN"/>
        </w:rPr>
        <w:t>理办法》共五章27条内</w:t>
      </w:r>
      <w:r>
        <w:rPr>
          <w:rFonts w:hint="eastAsia" w:ascii="方正楷体_GBK" w:hAnsi="方正楷体_GBK" w:eastAsia="方正楷体_GBK" w:cs="方正楷体_GBK"/>
          <w:sz w:val="32"/>
          <w:szCs w:val="32"/>
          <w:lang w:val="en-US" w:eastAsia="zh-CN"/>
        </w:rPr>
        <w:t>容，主要内容：</w:t>
      </w:r>
    </w:p>
    <w:p>
      <w:pPr>
        <w:spacing w:line="560" w:lineRule="exact"/>
        <w:ind w:firstLine="645"/>
        <w:rPr>
          <w:rFonts w:hint="eastAsia" w:ascii="方正仿宋_GBK" w:hAnsi="方正仿宋_GBK" w:eastAsia="方正仿宋_GBK" w:cs="方正仿宋_GBK"/>
          <w:bCs/>
          <w:sz w:val="32"/>
          <w:szCs w:val="32"/>
          <w:lang w:val="en-US" w:eastAsia="zh-CN"/>
        </w:rPr>
      </w:pPr>
      <w:r>
        <w:rPr>
          <w:rFonts w:hint="eastAsia" w:ascii="方正仿宋_GBK" w:hAnsi="方正仿宋_GBK" w:eastAsia="方正仿宋_GBK" w:cs="方正仿宋_GBK"/>
          <w:bCs/>
          <w:sz w:val="32"/>
          <w:szCs w:val="32"/>
          <w:lang w:eastAsia="zh-CN"/>
        </w:rPr>
        <w:t>第一章总则。</w:t>
      </w:r>
      <w:r>
        <w:rPr>
          <w:rFonts w:hint="eastAsia" w:ascii="方正仿宋_GBK" w:hAnsi="方正仿宋_GBK" w:eastAsia="方正仿宋_GBK" w:cs="方正仿宋_GBK"/>
          <w:bCs/>
          <w:sz w:val="32"/>
          <w:szCs w:val="32"/>
          <w:lang w:val="en-US" w:eastAsia="zh-CN"/>
        </w:rPr>
        <w:t>包括《管理办法》制定依据、江苏老字号定义、职责分工等内容。</w:t>
      </w:r>
    </w:p>
    <w:p>
      <w:pPr>
        <w:spacing w:line="560" w:lineRule="exact"/>
        <w:ind w:firstLine="645"/>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bCs/>
          <w:sz w:val="32"/>
          <w:szCs w:val="32"/>
        </w:rPr>
        <w:t>第二章</w:t>
      </w:r>
      <w:r>
        <w:rPr>
          <w:rFonts w:hint="eastAsia" w:ascii="方正仿宋_GBK" w:hAnsi="方正仿宋_GBK" w:eastAsia="方正仿宋_GBK" w:cs="方正仿宋_GBK"/>
          <w:bCs/>
          <w:sz w:val="32"/>
          <w:szCs w:val="32"/>
          <w:lang w:eastAsia="zh-CN"/>
        </w:rPr>
        <w:t>示范</w:t>
      </w:r>
      <w:r>
        <w:rPr>
          <w:rFonts w:hint="eastAsia" w:ascii="方正仿宋_GBK" w:hAnsi="方正仿宋_GBK" w:eastAsia="方正仿宋_GBK" w:cs="方正仿宋_GBK"/>
          <w:bCs/>
          <w:sz w:val="32"/>
          <w:szCs w:val="32"/>
        </w:rPr>
        <w:t>条件。</w:t>
      </w:r>
      <w:r>
        <w:rPr>
          <w:rFonts w:hint="eastAsia" w:ascii="方正仿宋_GBK" w:hAnsi="方正仿宋_GBK" w:eastAsia="方正仿宋_GBK" w:cs="方正仿宋_GBK"/>
          <w:bCs/>
          <w:sz w:val="32"/>
          <w:szCs w:val="32"/>
          <w:lang w:val="en-US" w:eastAsia="zh-CN"/>
        </w:rPr>
        <w:t>包括江苏老字号应具备的“品牌创立时间在</w:t>
      </w:r>
      <w:r>
        <w:rPr>
          <w:rFonts w:hint="default" w:ascii="Times New Roman" w:hAnsi="Times New Roman" w:eastAsia="方正仿宋_GBK" w:cs="Times New Roman"/>
          <w:bCs/>
          <w:sz w:val="32"/>
          <w:szCs w:val="32"/>
          <w:lang w:val="en-US" w:eastAsia="zh-CN"/>
        </w:rPr>
        <w:t>40年（含）以上，具有</w:t>
      </w:r>
      <w:r>
        <w:rPr>
          <w:rFonts w:hint="eastAsia" w:ascii="方正仿宋_GBK" w:hAnsi="方正仿宋_GBK" w:eastAsia="方正仿宋_GBK" w:cs="方正仿宋_GBK"/>
          <w:bCs/>
          <w:sz w:val="32"/>
          <w:szCs w:val="32"/>
          <w:lang w:val="en-US" w:eastAsia="zh-CN"/>
        </w:rPr>
        <w:t>中华民族特色和鲜明的地域文化特征”</w:t>
      </w:r>
      <w:r>
        <w:rPr>
          <w:rFonts w:hint="default" w:ascii="Times New Roman" w:hAnsi="Times New Roman" w:eastAsia="方正仿宋_GBK" w:cs="Times New Roman"/>
          <w:bCs/>
          <w:sz w:val="32"/>
          <w:szCs w:val="32"/>
          <w:lang w:val="en-US" w:eastAsia="zh-CN"/>
        </w:rPr>
        <w:t>等4个基</w:t>
      </w:r>
      <w:r>
        <w:rPr>
          <w:rFonts w:hint="eastAsia" w:ascii="方正仿宋_GBK" w:hAnsi="方正仿宋_GBK" w:eastAsia="方正仿宋_GBK" w:cs="方正仿宋_GBK"/>
          <w:bCs/>
          <w:sz w:val="32"/>
          <w:szCs w:val="32"/>
          <w:lang w:val="en-US" w:eastAsia="zh-CN"/>
        </w:rPr>
        <w:t>本条件以及江苏老字号企业应具备的“在江苏省内依法设立，主营业务连续</w:t>
      </w:r>
      <w:r>
        <w:rPr>
          <w:rFonts w:hint="default" w:ascii="Times New Roman" w:hAnsi="Times New Roman" w:eastAsia="方正仿宋_GBK" w:cs="Times New Roman"/>
          <w:bCs/>
          <w:sz w:val="32"/>
          <w:szCs w:val="32"/>
          <w:lang w:val="en-US" w:eastAsia="zh-CN"/>
        </w:rPr>
        <w:t>经营30年（含）</w:t>
      </w:r>
      <w:r>
        <w:rPr>
          <w:rFonts w:hint="eastAsia" w:ascii="方正仿宋_GBK" w:hAnsi="方正仿宋_GBK" w:eastAsia="方正仿宋_GBK" w:cs="方正仿宋_GBK"/>
          <w:bCs/>
          <w:sz w:val="32"/>
          <w:szCs w:val="32"/>
          <w:lang w:val="en-US" w:eastAsia="zh-CN"/>
        </w:rPr>
        <w:t>以上”</w:t>
      </w:r>
      <w:r>
        <w:rPr>
          <w:rFonts w:hint="default" w:ascii="Times New Roman" w:hAnsi="Times New Roman" w:eastAsia="方正仿宋_GBK" w:cs="Times New Roman"/>
          <w:bCs/>
          <w:sz w:val="32"/>
          <w:szCs w:val="32"/>
          <w:lang w:val="en-US" w:eastAsia="zh-CN"/>
        </w:rPr>
        <w:t>等7个基本</w:t>
      </w:r>
      <w:r>
        <w:rPr>
          <w:rFonts w:hint="eastAsia" w:ascii="方正仿宋_GBK" w:hAnsi="方正仿宋_GBK" w:eastAsia="方正仿宋_GBK" w:cs="方正仿宋_GBK"/>
          <w:bCs/>
          <w:sz w:val="32"/>
          <w:szCs w:val="32"/>
          <w:lang w:val="en-US" w:eastAsia="zh-CN"/>
        </w:rPr>
        <w:t>条件。</w:t>
      </w:r>
    </w:p>
    <w:p>
      <w:pPr>
        <w:spacing w:line="560" w:lineRule="exact"/>
        <w:ind w:firstLine="645"/>
        <w:rPr>
          <w:rFonts w:hint="eastAsia" w:ascii="Times New Roman" w:hAnsi="Times New Roman" w:eastAsia="方正仿宋_GBK" w:cs="Times New Roman"/>
          <w:bCs/>
          <w:sz w:val="32"/>
          <w:szCs w:val="32"/>
          <w:lang w:val="en-US" w:eastAsia="zh-CN"/>
        </w:rPr>
      </w:pPr>
      <w:r>
        <w:rPr>
          <w:rFonts w:hint="eastAsia" w:ascii="方正仿宋_GBK" w:hAnsi="方正仿宋_GBK" w:eastAsia="方正仿宋_GBK" w:cs="方正仿宋_GBK"/>
          <w:bCs/>
          <w:sz w:val="32"/>
          <w:szCs w:val="32"/>
        </w:rPr>
        <w:t>第三章</w:t>
      </w:r>
      <w:r>
        <w:rPr>
          <w:rFonts w:hint="eastAsia" w:ascii="方正仿宋_GBK" w:hAnsi="方正仿宋_GBK" w:eastAsia="方正仿宋_GBK" w:cs="方正仿宋_GBK"/>
          <w:bCs/>
          <w:sz w:val="32"/>
          <w:szCs w:val="32"/>
          <w:lang w:eastAsia="zh-CN"/>
        </w:rPr>
        <w:t>申报与认定</w:t>
      </w:r>
      <w:r>
        <w:rPr>
          <w:rFonts w:hint="eastAsia" w:ascii="方正仿宋_GBK" w:hAnsi="方正仿宋_GBK" w:eastAsia="方正仿宋_GBK" w:cs="方正仿宋_GBK"/>
          <w:bCs/>
          <w:sz w:val="32"/>
          <w:szCs w:val="32"/>
        </w:rPr>
        <w:t>。</w:t>
      </w:r>
      <w:r>
        <w:rPr>
          <w:rFonts w:hint="eastAsia" w:ascii="方正仿宋_GBK" w:hAnsi="方正仿宋_GBK" w:eastAsia="方正仿宋_GBK" w:cs="方正仿宋_GBK"/>
          <w:bCs/>
          <w:sz w:val="32"/>
          <w:szCs w:val="32"/>
          <w:lang w:val="en-US" w:eastAsia="zh-CN"/>
        </w:rPr>
        <w:t>包括申报推荐、组织评价、结果</w:t>
      </w:r>
      <w:r>
        <w:rPr>
          <w:rFonts w:hint="eastAsia" w:ascii="Times New Roman" w:hAnsi="Times New Roman" w:eastAsia="方正仿宋_GBK" w:cs="Times New Roman"/>
          <w:bCs/>
          <w:sz w:val="32"/>
          <w:szCs w:val="32"/>
          <w:lang w:val="en-US" w:eastAsia="zh-CN"/>
        </w:rPr>
        <w:t>公示3个程序。</w:t>
      </w:r>
    </w:p>
    <w:p>
      <w:pPr>
        <w:spacing w:line="560" w:lineRule="exact"/>
        <w:ind w:firstLine="645"/>
        <w:rPr>
          <w:rFonts w:hint="eastAsia" w:ascii="方正仿宋_GBK" w:hAnsi="方正仿宋_GBK" w:eastAsia="方正仿宋_GBK" w:cs="方正仿宋_GBK"/>
          <w:bCs/>
          <w:sz w:val="32"/>
          <w:szCs w:val="32"/>
          <w:lang w:val="en-US" w:eastAsia="zh-CN"/>
        </w:rPr>
      </w:pPr>
      <w:r>
        <w:rPr>
          <w:rFonts w:hint="eastAsia" w:ascii="方正仿宋_GBK" w:hAnsi="方正仿宋_GBK" w:eastAsia="方正仿宋_GBK" w:cs="方正仿宋_GBK"/>
          <w:bCs/>
          <w:sz w:val="32"/>
          <w:szCs w:val="32"/>
        </w:rPr>
        <w:t>第四章</w:t>
      </w:r>
      <w:r>
        <w:rPr>
          <w:rFonts w:hint="eastAsia" w:ascii="方正仿宋_GBK" w:hAnsi="方正仿宋_GBK" w:eastAsia="方正仿宋_GBK" w:cs="方正仿宋_GBK"/>
          <w:bCs/>
          <w:sz w:val="32"/>
          <w:szCs w:val="32"/>
          <w:lang w:eastAsia="zh-CN"/>
        </w:rPr>
        <w:t>动态管理</w:t>
      </w:r>
      <w:r>
        <w:rPr>
          <w:rFonts w:hint="eastAsia" w:ascii="方正仿宋_GBK" w:hAnsi="方正仿宋_GBK" w:eastAsia="方正仿宋_GBK" w:cs="方正仿宋_GBK"/>
          <w:bCs/>
          <w:sz w:val="32"/>
          <w:szCs w:val="32"/>
        </w:rPr>
        <w:t>。</w:t>
      </w:r>
      <w:r>
        <w:rPr>
          <w:rFonts w:hint="eastAsia" w:ascii="方正仿宋_GBK" w:hAnsi="方正仿宋_GBK" w:eastAsia="方正仿宋_GBK" w:cs="方正仿宋_GBK"/>
          <w:bCs/>
          <w:sz w:val="32"/>
          <w:szCs w:val="32"/>
          <w:lang w:val="en-US" w:eastAsia="zh-CN"/>
        </w:rPr>
        <w:t>包括从建立年报报送机制、加强监测管理和发展评估、定期开展复</w:t>
      </w:r>
      <w:r>
        <w:rPr>
          <w:rFonts w:hint="eastAsia" w:ascii="Times New Roman" w:hAnsi="Times New Roman" w:eastAsia="方正仿宋_GBK" w:cs="Times New Roman"/>
          <w:bCs/>
          <w:sz w:val="32"/>
          <w:szCs w:val="32"/>
          <w:lang w:val="en-US" w:eastAsia="zh-CN"/>
        </w:rPr>
        <w:t>核3个方面强化动态管理，对拒不履行相关义务、出现违法违规行为的江苏老字号，将分门别类采取约谈整改、暂停权益、移出名录3种动态调整的</w:t>
      </w:r>
      <w:r>
        <w:rPr>
          <w:rFonts w:hint="eastAsia" w:ascii="方正仿宋_GBK" w:hAnsi="方正仿宋_GBK" w:eastAsia="方正仿宋_GBK" w:cs="方正仿宋_GBK"/>
          <w:bCs/>
          <w:sz w:val="32"/>
          <w:szCs w:val="32"/>
          <w:lang w:val="en-US" w:eastAsia="zh-CN"/>
        </w:rPr>
        <w:t>管理措施。</w:t>
      </w:r>
    </w:p>
    <w:p>
      <w:pPr>
        <w:spacing w:line="560" w:lineRule="exact"/>
        <w:ind w:firstLine="645"/>
        <w:rPr>
          <w:rFonts w:hint="eastAsia" w:ascii="方正仿宋_GBK" w:hAnsi="方正仿宋_GBK" w:eastAsia="方正仿宋_GBK" w:cs="方正仿宋_GBK"/>
          <w:bCs/>
          <w:sz w:val="32"/>
          <w:szCs w:val="32"/>
          <w:lang w:val="en-US" w:eastAsia="zh-CN"/>
        </w:rPr>
      </w:pPr>
      <w:r>
        <w:rPr>
          <w:rFonts w:hint="eastAsia" w:ascii="方正仿宋_GBK" w:hAnsi="方正仿宋_GBK" w:eastAsia="方正仿宋_GBK" w:cs="方正仿宋_GBK"/>
          <w:bCs/>
          <w:sz w:val="32"/>
          <w:szCs w:val="32"/>
        </w:rPr>
        <w:t>第五章</w:t>
      </w:r>
      <w:r>
        <w:rPr>
          <w:rFonts w:hint="eastAsia" w:ascii="方正仿宋_GBK" w:hAnsi="方正仿宋_GBK" w:eastAsia="方正仿宋_GBK" w:cs="方正仿宋_GBK"/>
          <w:bCs/>
          <w:sz w:val="32"/>
          <w:szCs w:val="32"/>
          <w:lang w:eastAsia="zh-CN"/>
        </w:rPr>
        <w:t>其他</w:t>
      </w:r>
      <w:r>
        <w:rPr>
          <w:rFonts w:hint="eastAsia" w:ascii="方正仿宋_GBK" w:hAnsi="方正仿宋_GBK" w:eastAsia="方正仿宋_GBK" w:cs="方正仿宋_GBK"/>
          <w:bCs/>
          <w:sz w:val="32"/>
          <w:szCs w:val="32"/>
        </w:rPr>
        <w:t>。</w:t>
      </w:r>
      <w:r>
        <w:rPr>
          <w:rFonts w:hint="eastAsia" w:ascii="方正仿宋_GBK" w:hAnsi="方正仿宋_GBK" w:eastAsia="方正仿宋_GBK" w:cs="方正仿宋_GBK"/>
          <w:bCs/>
          <w:sz w:val="32"/>
          <w:szCs w:val="32"/>
          <w:lang w:val="en-US" w:eastAsia="zh-CN"/>
        </w:rPr>
        <w:t>为兜底条款，包括标识和牌匾制定主体、适用对象，解释权和施行期限。</w:t>
      </w:r>
    </w:p>
    <w:p>
      <w:pPr>
        <w:keepNext w:val="0"/>
        <w:keepLines w:val="0"/>
        <w:pageBreakBefore w:val="0"/>
        <w:widowControl/>
        <w:kinsoku/>
        <w:wordWrap/>
        <w:overflowPunct/>
        <w:topLinePunct w:val="0"/>
        <w:autoSpaceDE/>
        <w:bidi w:val="0"/>
        <w:adjustRightInd/>
        <w:snapToGrid/>
        <w:spacing w:line="587" w:lineRule="exact"/>
        <w:ind w:firstLine="640"/>
        <w:jc w:val="left"/>
        <w:rPr>
          <w:rFonts w:hint="eastAsia" w:ascii="方正仿宋_GBK" w:hAnsi="方正仿宋_GBK" w:eastAsia="方正仿宋_GBK" w:cs="方正仿宋_GBK"/>
          <w:color w:val="262626"/>
          <w:kern w:val="0"/>
          <w:sz w:val="32"/>
          <w:szCs w:val="32"/>
          <w:lang w:val="en-US" w:eastAsia="zh-CN"/>
        </w:rPr>
      </w:pPr>
    </w:p>
    <w:p>
      <w:pPr>
        <w:keepNext w:val="0"/>
        <w:keepLines w:val="0"/>
        <w:pageBreakBefore w:val="0"/>
        <w:widowControl/>
        <w:kinsoku/>
        <w:wordWrap/>
        <w:overflowPunct/>
        <w:topLinePunct w:val="0"/>
        <w:autoSpaceDE/>
        <w:bidi w:val="0"/>
        <w:adjustRightInd/>
        <w:snapToGrid/>
        <w:spacing w:line="587" w:lineRule="exact"/>
        <w:ind w:firstLine="640"/>
        <w:jc w:val="right"/>
        <w:rPr>
          <w:rFonts w:hint="default" w:ascii="Times New Roman" w:hAnsi="Times New Roman" w:eastAsia="方正仿宋_GBK" w:cs="Times New Roman"/>
          <w:color w:val="262626"/>
          <w:kern w:val="0"/>
          <w:sz w:val="32"/>
          <w:szCs w:val="32"/>
          <w:lang w:val="en-US" w:eastAsia="zh-CN"/>
        </w:rPr>
      </w:pPr>
      <w:r>
        <w:rPr>
          <w:rFonts w:hint="default" w:ascii="Times New Roman" w:hAnsi="Times New Roman" w:eastAsia="方正仿宋_GBK" w:cs="Times New Roman"/>
          <w:color w:val="262626"/>
          <w:kern w:val="0"/>
          <w:sz w:val="32"/>
          <w:szCs w:val="32"/>
          <w:lang w:val="en-US" w:eastAsia="zh-CN"/>
        </w:rPr>
        <w:t>江苏省商务厅</w:t>
      </w:r>
    </w:p>
    <w:p>
      <w:pPr>
        <w:keepNext w:val="0"/>
        <w:keepLines w:val="0"/>
        <w:pageBreakBefore w:val="0"/>
        <w:widowControl/>
        <w:kinsoku/>
        <w:wordWrap/>
        <w:overflowPunct/>
        <w:topLinePunct w:val="0"/>
        <w:autoSpaceDE/>
        <w:bidi w:val="0"/>
        <w:adjustRightInd/>
        <w:snapToGrid/>
        <w:spacing w:line="587" w:lineRule="exact"/>
        <w:ind w:firstLine="640"/>
        <w:jc w:val="right"/>
        <w:rPr>
          <w:rFonts w:hint="default" w:ascii="Times New Roman" w:hAnsi="Times New Roman" w:eastAsia="方正仿宋_GBK" w:cs="Times New Roman"/>
          <w:color w:val="262626"/>
          <w:kern w:val="0"/>
          <w:sz w:val="32"/>
          <w:szCs w:val="32"/>
          <w:lang w:val="en-US" w:eastAsia="zh-CN"/>
        </w:rPr>
      </w:pPr>
      <w:r>
        <w:rPr>
          <w:rFonts w:hint="default" w:ascii="Times New Roman" w:hAnsi="Times New Roman" w:eastAsia="方正仿宋_GBK" w:cs="Times New Roman"/>
          <w:color w:val="262626"/>
          <w:kern w:val="0"/>
          <w:sz w:val="32"/>
          <w:szCs w:val="32"/>
          <w:lang w:val="en-US" w:eastAsia="zh-CN"/>
        </w:rPr>
        <w:t>2023年6月16日</w:t>
      </w:r>
    </w:p>
    <w:sectPr>
      <w:footerReference r:id="rId3" w:type="default"/>
      <w:pgSz w:w="11906" w:h="16838"/>
      <w:pgMar w:top="2098" w:right="1474" w:bottom="1417"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80F3C52" w:usb2="00000016" w:usb3="00000000" w:csb0="0004001F" w:csb1="00000000"/>
  </w:font>
  <w:font w:name="方正仿宋_GBK">
    <w:panose1 w:val="02000000000000000000"/>
    <w:charset w:val="86"/>
    <w:family w:val="auto"/>
    <w:pitch w:val="default"/>
    <w:sig w:usb0="00000001" w:usb1="0800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">
              <v:fill on="f" focussize="0,0"/>
              <v:stroke on="f"/>
              <v:imagedata o:title=""/>
              <o:lock v:ext="edit" aspectratio="f"/>
              <v:textbox inset="0mm,0mm,0mm,0mm" style="mso-fit-shape-to-text:t;">
                <w:txbxContent>
                  <w:p>
                    <w:pPr>
                      <w:pStyle w:val="2"/>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BE5E76"/>
    <w:rsid w:val="1EC1FA9B"/>
    <w:rsid w:val="1F6F371A"/>
    <w:rsid w:val="1FE7D80E"/>
    <w:rsid w:val="275FAECD"/>
    <w:rsid w:val="2BE36299"/>
    <w:rsid w:val="39291B9E"/>
    <w:rsid w:val="3EAB0813"/>
    <w:rsid w:val="3FAE4AFC"/>
    <w:rsid w:val="4BBC74DF"/>
    <w:rsid w:val="4FA208FD"/>
    <w:rsid w:val="55EE6149"/>
    <w:rsid w:val="5DFB9DF0"/>
    <w:rsid w:val="5FDFECA0"/>
    <w:rsid w:val="646A00B6"/>
    <w:rsid w:val="6EFB7B55"/>
    <w:rsid w:val="6EFE3C06"/>
    <w:rsid w:val="6FAF9519"/>
    <w:rsid w:val="6FFA5CC0"/>
    <w:rsid w:val="773A77A6"/>
    <w:rsid w:val="7BD40B28"/>
    <w:rsid w:val="7BFAC64A"/>
    <w:rsid w:val="7BFB1136"/>
    <w:rsid w:val="7F7CCD68"/>
    <w:rsid w:val="7F9F3093"/>
    <w:rsid w:val="7FD9CC00"/>
    <w:rsid w:val="9D655F76"/>
    <w:rsid w:val="BA7EBDB2"/>
    <w:rsid w:val="BD1D9FEE"/>
    <w:rsid w:val="BDF6ACC2"/>
    <w:rsid w:val="BFE52A45"/>
    <w:rsid w:val="C5CF4D46"/>
    <w:rsid w:val="C73D75AF"/>
    <w:rsid w:val="CFFFA1CB"/>
    <w:rsid w:val="D7D5E93A"/>
    <w:rsid w:val="D7FF8DBE"/>
    <w:rsid w:val="DAFF4541"/>
    <w:rsid w:val="DB164F20"/>
    <w:rsid w:val="DEBFDA58"/>
    <w:rsid w:val="DF7D4607"/>
    <w:rsid w:val="DFDD2C66"/>
    <w:rsid w:val="EBFFFDD7"/>
    <w:rsid w:val="EDFF6064"/>
    <w:rsid w:val="EFEDFE0E"/>
    <w:rsid w:val="EFEE0E45"/>
    <w:rsid w:val="F3FF9119"/>
    <w:rsid w:val="F77BF2A0"/>
    <w:rsid w:val="F77F31D5"/>
    <w:rsid w:val="F7FD00F0"/>
    <w:rsid w:val="FABE0F90"/>
    <w:rsid w:val="FCFDD3EE"/>
    <w:rsid w:val="FDFF891B"/>
    <w:rsid w:val="FE921B4D"/>
    <w:rsid w:val="FEFA0F1A"/>
    <w:rsid w:val="FFE3EE41"/>
    <w:rsid w:val="FFEF0E76"/>
    <w:rsid w:val="FFF74C0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Style w:val="4"/>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page number"/>
    <w:basedOn w:val="5"/>
    <w:unhideWhenUsed/>
    <w:qFormat/>
    <w:uiPriority w:val="99"/>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6.33333333333333</TotalTime>
  <ScaleCrop>false</ScaleCrop>
  <LinksUpToDate>false</LinksUpToDate>
  <CharactersWithSpaces>0</CharactersWithSpaces>
  <Application>WPS Office_11.8.2.11653_F1E327BC-269C-435d-A152-05C5408002CA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2014-11-06T04:08:00Z</dcterms:created>
  <dc:creator>Administrator</dc:creator>
  <cp:lastModifiedBy>kylin</cp:lastModifiedBy>
  <cp:lastPrinted>2024-01-22T19:24:13Z</cp:lastPrinted>
  <dcterms:modified xsi:type="dcterms:W3CDTF">2024-01-24T12:33:30Z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2052-11.8.2.11653</vt:lpwstr>
  </property>
  <property fmtid="{D5CDD505-2E9C-101B-9397-08002B2CF9AE}" pid="3" name="ICV">
    <vt:lpwstr>BE09BEA89E591FDF1A93B065638F389F</vt:lpwstr>
  </property>
</Properties>
</file>