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Times New Roman" w:hAnsi="Times New Roman" w:eastAsia="方正黑体_GBK"/>
          <w:sz w:val="32"/>
          <w:szCs w:val="32"/>
        </w:rPr>
      </w:pPr>
      <w:bookmarkStart w:id="0" w:name="_GoBack"/>
      <w:bookmarkEnd w:id="0"/>
      <w:r>
        <w:rPr>
          <w:rFonts w:ascii="Times New Roman" w:hAnsi="Times New Roman" w:eastAsia="方正黑体_GBK"/>
          <w:sz w:val="32"/>
          <w:szCs w:val="32"/>
        </w:rPr>
        <w:t>附件</w:t>
      </w:r>
      <w:r>
        <w:rPr>
          <w:rFonts w:hint="eastAsia" w:ascii="Times New Roman" w:hAnsi="Times New Roman" w:eastAsia="方正黑体_GBK"/>
          <w:sz w:val="32"/>
          <w:szCs w:val="32"/>
        </w:rPr>
        <w:t>1</w:t>
      </w:r>
    </w:p>
    <w:p>
      <w:pPr>
        <w:pStyle w:val="5"/>
        <w:ind w:firstLine="0"/>
        <w:jc w:val="center"/>
        <w:rPr>
          <w:rFonts w:ascii="方正黑体_GBK" w:hAnsi="方正黑体_GBK" w:eastAsia="方正黑体_GBK" w:cs="方正黑体_GBK"/>
          <w:sz w:val="44"/>
          <w:szCs w:val="44"/>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Times New Roman" w:hAnsi="Times New Roman" w:eastAsia="方正小标宋_GBK"/>
          <w:sz w:val="44"/>
        </w:rPr>
      </w:pPr>
      <w:r>
        <w:rPr>
          <w:rFonts w:hint="eastAsia" w:ascii="Times New Roman" w:hAnsi="Times New Roman" w:eastAsia="方正小标宋_GBK"/>
          <w:sz w:val="44"/>
        </w:rPr>
        <w:t>泰州市生物医药研发用物品进口</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Times New Roman" w:hAnsi="Times New Roman" w:eastAsia="方正小标宋_GBK"/>
          <w:sz w:val="44"/>
        </w:rPr>
      </w:pPr>
      <w:r>
        <w:rPr>
          <w:rFonts w:hint="eastAsia" w:ascii="Times New Roman" w:hAnsi="Times New Roman" w:eastAsia="方正小标宋_GBK"/>
          <w:sz w:val="44"/>
        </w:rPr>
        <w:t>“白名单”制度试点方案</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Times New Roman" w:hAnsi="Times New Roman" w:eastAsia="方正仿宋_GBK"/>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仿宋_GBK"/>
          <w:sz w:val="32"/>
        </w:rPr>
      </w:pPr>
      <w:r>
        <w:rPr>
          <w:rFonts w:hint="eastAsia" w:ascii="Times New Roman" w:hAnsi="Times New Roman" w:eastAsia="方正仿宋_GBK"/>
          <w:sz w:val="32"/>
        </w:rPr>
        <w:t>为深入贯彻习近平总书记关于推动贸易自由化便利化的重要指示精神，落实《</w:t>
      </w:r>
      <w:r>
        <w:rPr>
          <w:rFonts w:hint="eastAsia" w:ascii="Times New Roman" w:hAnsi="Times New Roman" w:eastAsia="方正仿宋_GBK"/>
          <w:sz w:val="32"/>
          <w:lang w:eastAsia="zh-CN"/>
        </w:rPr>
        <w:t>国家口岸管理办公室关于复制推广借鉴</w:t>
      </w:r>
      <w:r>
        <w:rPr>
          <w:rFonts w:hint="eastAsia" w:ascii="Times New Roman" w:hAnsi="Times New Roman" w:eastAsia="方正仿宋_GBK"/>
          <w:sz w:val="32"/>
          <w:lang w:val="en-US" w:eastAsia="zh-CN"/>
        </w:rPr>
        <w:t>2023年促进跨境贸易便利化专项行动改革举措的通知</w:t>
      </w:r>
      <w:r>
        <w:rPr>
          <w:rFonts w:hint="eastAsia" w:ascii="Times New Roman" w:hAnsi="Times New Roman" w:eastAsia="方正仿宋_GBK"/>
          <w:sz w:val="32"/>
        </w:rPr>
        <w:t>》（国</w:t>
      </w:r>
      <w:r>
        <w:rPr>
          <w:rFonts w:hint="eastAsia" w:ascii="Times New Roman" w:hAnsi="Times New Roman" w:eastAsia="方正仿宋_GBK"/>
          <w:sz w:val="32"/>
          <w:lang w:eastAsia="zh-CN"/>
        </w:rPr>
        <w:t>岸函</w:t>
      </w:r>
      <w:r>
        <w:rPr>
          <w:rFonts w:hint="eastAsia" w:ascii="Times New Roman" w:hAnsi="Times New Roman" w:eastAsia="方正仿宋_GBK"/>
          <w:sz w:val="32"/>
        </w:rPr>
        <w:t>〔202</w:t>
      </w:r>
      <w:r>
        <w:rPr>
          <w:rFonts w:hint="eastAsia" w:ascii="Times New Roman" w:hAnsi="Times New Roman" w:eastAsia="方正仿宋_GBK"/>
          <w:sz w:val="32"/>
          <w:lang w:val="en-US" w:eastAsia="zh-CN"/>
        </w:rPr>
        <w:t>3</w:t>
      </w:r>
      <w:r>
        <w:rPr>
          <w:rFonts w:hint="eastAsia" w:ascii="Times New Roman" w:hAnsi="Times New Roman" w:eastAsia="方正仿宋_GBK"/>
          <w:sz w:val="32"/>
        </w:rPr>
        <w:t>〕</w:t>
      </w:r>
      <w:r>
        <w:rPr>
          <w:rFonts w:hint="eastAsia" w:ascii="Times New Roman" w:hAnsi="Times New Roman" w:eastAsia="方正仿宋_GBK"/>
          <w:sz w:val="32"/>
          <w:lang w:val="en-US" w:eastAsia="zh-CN"/>
        </w:rPr>
        <w:t>73</w:t>
      </w:r>
      <w:r>
        <w:rPr>
          <w:rFonts w:hint="eastAsia" w:ascii="Times New Roman" w:hAnsi="Times New Roman" w:eastAsia="方正仿宋_GBK"/>
          <w:sz w:val="32"/>
        </w:rPr>
        <w:t>号）</w:t>
      </w:r>
      <w:r>
        <w:rPr>
          <w:rFonts w:hint="eastAsia" w:ascii="Times New Roman" w:hAnsi="Times New Roman" w:eastAsia="方正仿宋_GBK"/>
          <w:sz w:val="32"/>
          <w:lang w:val="en-US" w:eastAsia="zh-CN"/>
        </w:rPr>
        <w:t>要求</w:t>
      </w:r>
      <w:r>
        <w:rPr>
          <w:rFonts w:hint="eastAsia" w:ascii="Times New Roman" w:hAnsi="Times New Roman" w:eastAsia="方正仿宋_GBK"/>
          <w:sz w:val="32"/>
        </w:rPr>
        <w:t>，提升生物医药研发用物品</w:t>
      </w:r>
      <w:r>
        <w:rPr>
          <w:rFonts w:hint="eastAsia" w:ascii="Times New Roman" w:hAnsi="Times New Roman" w:eastAsia="方正仿宋_GBK"/>
          <w:sz w:val="32"/>
          <w:lang w:val="en-US" w:eastAsia="zh-CN"/>
        </w:rPr>
        <w:t>进口</w:t>
      </w:r>
      <w:r>
        <w:rPr>
          <w:rFonts w:hint="eastAsia" w:ascii="Times New Roman" w:hAnsi="Times New Roman" w:eastAsia="方正仿宋_GBK"/>
          <w:sz w:val="32"/>
        </w:rPr>
        <w:t>通关便利化水平，</w:t>
      </w:r>
      <w:r>
        <w:rPr>
          <w:rFonts w:hint="eastAsia" w:ascii="Times New Roman" w:hAnsi="Times New Roman" w:eastAsia="方正仿宋_GBK"/>
          <w:sz w:val="32"/>
          <w:lang w:val="en-US" w:eastAsia="zh-CN"/>
        </w:rPr>
        <w:t>助力泰州市加快建设具有全球影响力的医药健康产业高地，特</w:t>
      </w:r>
      <w:r>
        <w:rPr>
          <w:rFonts w:hint="eastAsia" w:ascii="Times New Roman" w:hAnsi="Times New Roman" w:eastAsia="方正仿宋_GBK"/>
          <w:sz w:val="32"/>
        </w:rPr>
        <w:t>制定本方案。</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黑体_GBK" w:cs="方正黑体_GBK"/>
          <w:sz w:val="32"/>
        </w:rPr>
      </w:pPr>
      <w:r>
        <w:rPr>
          <w:rFonts w:hint="eastAsia" w:ascii="Times New Roman" w:hAnsi="Times New Roman" w:eastAsia="方正黑体_GBK" w:cs="方正黑体_GBK"/>
          <w:sz w:val="32"/>
        </w:rPr>
        <w:t>一、工作目标</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仿宋_GBK"/>
          <w:sz w:val="32"/>
        </w:rPr>
      </w:pPr>
      <w:r>
        <w:rPr>
          <w:rFonts w:hint="eastAsia" w:ascii="Times New Roman" w:hAnsi="Times New Roman" w:eastAsia="方正仿宋_GBK"/>
          <w:sz w:val="32"/>
        </w:rPr>
        <w:t>根据“创新体制机制、守牢风险底线、提升便利水平”</w:t>
      </w:r>
      <w:r>
        <w:rPr>
          <w:rFonts w:hint="eastAsia" w:ascii="Times New Roman" w:hAnsi="Times New Roman" w:eastAsia="方正仿宋_GBK"/>
          <w:sz w:val="32"/>
          <w:lang w:val="en-US" w:eastAsia="zh-CN"/>
        </w:rPr>
        <w:t>的</w:t>
      </w:r>
      <w:r>
        <w:rPr>
          <w:rFonts w:hint="eastAsia" w:ascii="Times New Roman" w:hAnsi="Times New Roman" w:eastAsia="方正仿宋_GBK"/>
          <w:sz w:val="32"/>
        </w:rPr>
        <w:t>原则，建立泰州</w:t>
      </w:r>
      <w:r>
        <w:rPr>
          <w:rFonts w:hint="eastAsia" w:ascii="Times New Roman" w:hAnsi="Times New Roman" w:eastAsia="方正仿宋_GBK"/>
          <w:sz w:val="32"/>
          <w:lang w:val="en-US" w:eastAsia="zh-CN"/>
        </w:rPr>
        <w:t>市</w:t>
      </w:r>
      <w:r>
        <w:rPr>
          <w:rFonts w:hint="eastAsia" w:ascii="Times New Roman" w:hAnsi="Times New Roman" w:eastAsia="方正仿宋_GBK"/>
          <w:sz w:val="32"/>
        </w:rPr>
        <w:t>生物医药研发用物品进口“白名单”（以下简称“白名单”）制度，完善全流程监管，实现“白名单”物品进口</w:t>
      </w:r>
      <w:r>
        <w:rPr>
          <w:rFonts w:hint="eastAsia" w:ascii="Times New Roman" w:hAnsi="Times New Roman" w:eastAsia="方正仿宋_GBK"/>
          <w:sz w:val="32"/>
          <w:lang w:val="en-US" w:eastAsia="zh-CN"/>
        </w:rPr>
        <w:t>无需</w:t>
      </w:r>
      <w:r>
        <w:rPr>
          <w:rFonts w:hint="eastAsia" w:ascii="Times New Roman" w:hAnsi="Times New Roman" w:eastAsia="方正仿宋_GBK"/>
          <w:sz w:val="32"/>
        </w:rPr>
        <w:t>办理《进口药品通关单》，提升</w:t>
      </w:r>
      <w:r>
        <w:rPr>
          <w:rFonts w:hint="eastAsia" w:ascii="Times New Roman" w:hAnsi="Times New Roman" w:eastAsia="方正仿宋_GBK"/>
          <w:sz w:val="32"/>
          <w:lang w:val="en-US" w:eastAsia="zh-CN"/>
        </w:rPr>
        <w:t>通关</w:t>
      </w:r>
      <w:r>
        <w:rPr>
          <w:rFonts w:hint="eastAsia" w:ascii="Times New Roman" w:hAnsi="Times New Roman" w:eastAsia="方正仿宋_GBK"/>
          <w:sz w:val="32"/>
        </w:rPr>
        <w:t>便利化</w:t>
      </w:r>
      <w:r>
        <w:rPr>
          <w:rFonts w:hint="eastAsia" w:ascii="Times New Roman" w:hAnsi="Times New Roman" w:eastAsia="方正仿宋_GBK"/>
          <w:sz w:val="32"/>
          <w:lang w:val="en-US" w:eastAsia="zh-CN"/>
        </w:rPr>
        <w:t>水平</w:t>
      </w:r>
      <w:r>
        <w:rPr>
          <w:rFonts w:hint="eastAsia" w:ascii="Times New Roman" w:hAnsi="Times New Roman" w:eastAsia="方正仿宋_GBK"/>
          <w:sz w:val="32"/>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黑体_GBK" w:cs="方正黑体_GBK"/>
          <w:sz w:val="32"/>
        </w:rPr>
      </w:pPr>
      <w:r>
        <w:rPr>
          <w:rFonts w:hint="eastAsia" w:ascii="Times New Roman" w:hAnsi="Times New Roman" w:eastAsia="方正黑体_GBK" w:cs="方正黑体_GBK"/>
          <w:sz w:val="32"/>
        </w:rPr>
        <w:t>二、推进机制</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仿宋_GBK"/>
          <w:sz w:val="32"/>
        </w:rPr>
      </w:pPr>
      <w:r>
        <w:rPr>
          <w:rFonts w:hint="eastAsia" w:ascii="Times New Roman" w:hAnsi="Times New Roman" w:eastAsia="方正楷体_GBK" w:cs="方正楷体_GBK"/>
          <w:sz w:val="32"/>
        </w:rPr>
        <w:t>（一）建立联合推进机制。</w:t>
      </w:r>
      <w:r>
        <w:rPr>
          <w:rFonts w:hint="eastAsia" w:ascii="Times New Roman" w:hAnsi="Times New Roman" w:eastAsia="方正仿宋_GBK"/>
          <w:sz w:val="32"/>
        </w:rPr>
        <w:t>省级联合推进机制由省商务厅（自贸办）牵头，省科技厅、南京海关和省药监局参加，负责协调推进、督促指导泰州市开展试点工作。泰州市联合推进机制由</w:t>
      </w:r>
      <w:r>
        <w:rPr>
          <w:rFonts w:hint="eastAsia" w:ascii="Times New Roman" w:hAnsi="Times New Roman" w:eastAsia="方正仿宋_GBK"/>
          <w:sz w:val="32"/>
          <w:lang w:val="en-US" w:eastAsia="zh-CN"/>
        </w:rPr>
        <w:t>泰州</w:t>
      </w:r>
      <w:r>
        <w:rPr>
          <w:rFonts w:hint="eastAsia" w:ascii="Times New Roman" w:hAnsi="Times New Roman" w:eastAsia="方正仿宋_GBK"/>
          <w:sz w:val="32"/>
        </w:rPr>
        <w:t>市商务局牵头，</w:t>
      </w:r>
      <w:r>
        <w:rPr>
          <w:rFonts w:hint="eastAsia" w:ascii="Times New Roman" w:hAnsi="Times New Roman" w:eastAsia="方正仿宋_GBK"/>
          <w:sz w:val="32"/>
          <w:lang w:val="en-US" w:eastAsia="zh-CN"/>
        </w:rPr>
        <w:t>泰州市</w:t>
      </w:r>
      <w:r>
        <w:rPr>
          <w:rFonts w:hint="eastAsia" w:ascii="Times New Roman" w:hAnsi="Times New Roman" w:eastAsia="方正仿宋_GBK"/>
          <w:sz w:val="32"/>
        </w:rPr>
        <w:t>科技局、泰州海关</w:t>
      </w:r>
      <w:r>
        <w:rPr>
          <w:rFonts w:hint="eastAsia" w:ascii="Times New Roman" w:hAnsi="Times New Roman" w:eastAsia="方正仿宋_GBK"/>
          <w:sz w:val="32"/>
          <w:lang w:val="en-US" w:eastAsia="zh-CN"/>
        </w:rPr>
        <w:t>和泰州市</w:t>
      </w:r>
      <w:r>
        <w:rPr>
          <w:rFonts w:hint="eastAsia" w:ascii="Times New Roman" w:hAnsi="Times New Roman" w:eastAsia="方正仿宋_GBK"/>
          <w:sz w:val="32"/>
        </w:rPr>
        <w:t>市场监管局参加，负责推进落实试点任务，审核推荐“白名单”，督促指导试点企业完善业务流程，强化事中事后监管，落实风险防控主体责任和监管责任。</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仿宋_GBK"/>
          <w:sz w:val="32"/>
        </w:rPr>
      </w:pPr>
      <w:r>
        <w:rPr>
          <w:rFonts w:hint="eastAsia" w:ascii="Times New Roman" w:hAnsi="Times New Roman" w:eastAsia="方正楷体_GBK" w:cs="方正楷体_GBK"/>
          <w:sz w:val="32"/>
        </w:rPr>
        <w:t>（二）明确部门职责分工。</w:t>
      </w:r>
      <w:r>
        <w:rPr>
          <w:rFonts w:hint="eastAsia" w:ascii="Times New Roman" w:hAnsi="Times New Roman" w:eastAsia="方正仿宋_GBK"/>
          <w:sz w:val="32"/>
          <w:lang w:val="en-US" w:eastAsia="zh-CN"/>
        </w:rPr>
        <w:t>泰州市</w:t>
      </w:r>
      <w:r>
        <w:rPr>
          <w:rFonts w:hint="eastAsia" w:ascii="Times New Roman" w:hAnsi="Times New Roman" w:eastAsia="方正仿宋_GBK"/>
          <w:sz w:val="32"/>
        </w:rPr>
        <w:t>商务</w:t>
      </w:r>
      <w:r>
        <w:rPr>
          <w:rFonts w:hint="eastAsia" w:ascii="Times New Roman" w:hAnsi="Times New Roman" w:eastAsia="方正仿宋_GBK"/>
          <w:sz w:val="32"/>
          <w:lang w:val="en-US" w:eastAsia="zh-CN"/>
        </w:rPr>
        <w:t>局</w:t>
      </w:r>
      <w:r>
        <w:rPr>
          <w:rFonts w:hint="eastAsia" w:ascii="Times New Roman" w:hAnsi="Times New Roman" w:eastAsia="方正仿宋_GBK"/>
          <w:sz w:val="32"/>
        </w:rPr>
        <w:t>负责牵头协调、统筹推进试点工作</w:t>
      </w:r>
      <w:r>
        <w:rPr>
          <w:rFonts w:hint="eastAsia" w:ascii="Times New Roman" w:hAnsi="Times New Roman" w:eastAsia="方正仿宋_GBK"/>
          <w:sz w:val="32"/>
          <w:lang w:eastAsia="zh-CN"/>
        </w:rPr>
        <w:t>；</w:t>
      </w:r>
      <w:r>
        <w:rPr>
          <w:rFonts w:hint="eastAsia" w:ascii="Times New Roman" w:hAnsi="Times New Roman" w:eastAsia="方正仿宋_GBK"/>
          <w:sz w:val="32"/>
          <w:lang w:val="en-US" w:eastAsia="zh-CN"/>
        </w:rPr>
        <w:t>泰州市</w:t>
      </w:r>
      <w:r>
        <w:rPr>
          <w:rFonts w:hint="eastAsia" w:ascii="Times New Roman" w:hAnsi="Times New Roman" w:eastAsia="方正仿宋_GBK"/>
          <w:sz w:val="32"/>
        </w:rPr>
        <w:t>科技</w:t>
      </w:r>
      <w:r>
        <w:rPr>
          <w:rFonts w:hint="eastAsia" w:ascii="Times New Roman" w:hAnsi="Times New Roman" w:eastAsia="方正仿宋_GBK"/>
          <w:sz w:val="32"/>
          <w:lang w:val="en-US" w:eastAsia="zh-CN"/>
        </w:rPr>
        <w:t>局</w:t>
      </w:r>
      <w:r>
        <w:rPr>
          <w:rFonts w:hint="eastAsia" w:ascii="Times New Roman" w:hAnsi="Times New Roman" w:eastAsia="方正仿宋_GBK"/>
          <w:sz w:val="32"/>
        </w:rPr>
        <w:t>负责提供“白名单”企业高新技术企业认定</w:t>
      </w:r>
      <w:r>
        <w:rPr>
          <w:rFonts w:hint="eastAsia" w:ascii="Times New Roman" w:hAnsi="Times New Roman" w:eastAsia="方正仿宋_GBK"/>
          <w:sz w:val="32"/>
          <w:lang w:eastAsia="zh-CN"/>
        </w:rPr>
        <w:t>、</w:t>
      </w:r>
      <w:r>
        <w:rPr>
          <w:rFonts w:hint="eastAsia" w:ascii="Times New Roman" w:hAnsi="Times New Roman" w:eastAsia="方正仿宋_GBK"/>
          <w:sz w:val="32"/>
        </w:rPr>
        <w:t>承担省</w:t>
      </w:r>
      <w:r>
        <w:rPr>
          <w:rFonts w:hint="eastAsia" w:ascii="Times New Roman" w:hAnsi="Times New Roman" w:eastAsia="方正仿宋_GBK"/>
          <w:sz w:val="32"/>
          <w:lang w:val="en-US" w:eastAsia="zh-CN"/>
        </w:rPr>
        <w:t>级和</w:t>
      </w:r>
      <w:r>
        <w:rPr>
          <w:rFonts w:hint="eastAsia" w:ascii="Times New Roman" w:hAnsi="Times New Roman" w:eastAsia="方正仿宋_GBK"/>
          <w:sz w:val="32"/>
        </w:rPr>
        <w:t>市</w:t>
      </w:r>
      <w:r>
        <w:rPr>
          <w:rFonts w:hint="eastAsia" w:ascii="Times New Roman" w:hAnsi="Times New Roman" w:eastAsia="方正仿宋_GBK"/>
          <w:sz w:val="32"/>
          <w:lang w:val="en-US" w:eastAsia="zh-CN"/>
        </w:rPr>
        <w:t>级</w:t>
      </w:r>
      <w:r>
        <w:rPr>
          <w:rFonts w:hint="eastAsia" w:ascii="Times New Roman" w:hAnsi="Times New Roman" w:eastAsia="方正仿宋_GBK"/>
          <w:sz w:val="32"/>
        </w:rPr>
        <w:t>科技计划项目情况</w:t>
      </w:r>
      <w:r>
        <w:rPr>
          <w:rFonts w:hint="eastAsia" w:ascii="Times New Roman" w:hAnsi="Times New Roman" w:eastAsia="方正仿宋_GBK"/>
          <w:sz w:val="32"/>
          <w:lang w:eastAsia="zh-CN"/>
        </w:rPr>
        <w:t>；</w:t>
      </w:r>
      <w:r>
        <w:rPr>
          <w:rFonts w:hint="eastAsia" w:ascii="Times New Roman" w:hAnsi="Times New Roman" w:eastAsia="方正仿宋_GBK"/>
          <w:sz w:val="32"/>
          <w:lang w:val="en-US" w:eastAsia="zh-CN"/>
        </w:rPr>
        <w:t>泰州</w:t>
      </w:r>
      <w:r>
        <w:rPr>
          <w:rFonts w:hint="eastAsia" w:ascii="Times New Roman" w:hAnsi="Times New Roman" w:eastAsia="方正仿宋_GBK"/>
          <w:sz w:val="32"/>
        </w:rPr>
        <w:t>海关负责落实“白名单”研发用物品通关</w:t>
      </w:r>
      <w:r>
        <w:rPr>
          <w:rFonts w:hint="eastAsia" w:ascii="Times New Roman" w:hAnsi="Times New Roman" w:eastAsia="方正仿宋_GBK"/>
          <w:sz w:val="32"/>
          <w:lang w:eastAsia="zh-CN"/>
        </w:rPr>
        <w:t>；</w:t>
      </w:r>
      <w:r>
        <w:rPr>
          <w:rFonts w:hint="eastAsia" w:ascii="Times New Roman" w:hAnsi="Times New Roman" w:eastAsia="方正仿宋_GBK"/>
          <w:sz w:val="32"/>
          <w:lang w:val="en-US" w:eastAsia="zh-CN"/>
        </w:rPr>
        <w:t>泰州市市场监管局</w:t>
      </w:r>
      <w:r>
        <w:rPr>
          <w:rFonts w:hint="eastAsia" w:ascii="Times New Roman" w:hAnsi="Times New Roman" w:eastAsia="方正仿宋_GBK"/>
          <w:sz w:val="32"/>
        </w:rPr>
        <w:t>负责企业“白名单”研发用物品申请及属性和用途审核。</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黑体_GBK" w:cs="方正黑体_GBK"/>
          <w:sz w:val="32"/>
        </w:rPr>
      </w:pPr>
      <w:r>
        <w:rPr>
          <w:rFonts w:hint="eastAsia" w:ascii="Times New Roman" w:hAnsi="Times New Roman" w:eastAsia="方正黑体_GBK" w:cs="方正黑体_GBK"/>
          <w:sz w:val="32"/>
        </w:rPr>
        <w:t>三、业务流程</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仿宋_GBK"/>
          <w:sz w:val="32"/>
        </w:rPr>
      </w:pPr>
      <w:r>
        <w:rPr>
          <w:rFonts w:hint="eastAsia" w:ascii="Times New Roman" w:hAnsi="Times New Roman" w:eastAsia="方正楷体_GBK" w:cs="方正楷体_GBK"/>
          <w:sz w:val="32"/>
        </w:rPr>
        <w:t>（一）“白名单”组成。</w:t>
      </w:r>
      <w:r>
        <w:rPr>
          <w:rFonts w:hint="eastAsia" w:ascii="Times New Roman" w:hAnsi="Times New Roman" w:eastAsia="方正仿宋_GBK"/>
          <w:sz w:val="32"/>
        </w:rPr>
        <w:t>“白名单”由试点企业及试点进口研发用物品两部分组成，每家试点企业与试点进口研发用物品一一对应。</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仿宋_GBK"/>
          <w:sz w:val="32"/>
        </w:rPr>
      </w:pPr>
      <w:r>
        <w:rPr>
          <w:rFonts w:hint="eastAsia" w:ascii="Times New Roman" w:hAnsi="Times New Roman" w:eastAsia="方正楷体_GBK" w:cs="方正楷体_GBK"/>
          <w:sz w:val="32"/>
        </w:rPr>
        <w:t>（二）“白名单”申报。</w:t>
      </w:r>
      <w:r>
        <w:rPr>
          <w:rFonts w:hint="eastAsia" w:ascii="Times New Roman" w:hAnsi="Times New Roman" w:eastAsia="方正仿宋_GBK"/>
          <w:sz w:val="32"/>
        </w:rPr>
        <w:t>在申报期内，泰州</w:t>
      </w:r>
      <w:r>
        <w:rPr>
          <w:rFonts w:hint="eastAsia" w:ascii="Times New Roman" w:hAnsi="Times New Roman" w:eastAsia="方正仿宋_GBK"/>
          <w:sz w:val="32"/>
          <w:lang w:val="en-US" w:eastAsia="zh-CN"/>
        </w:rPr>
        <w:t>市</w:t>
      </w:r>
      <w:r>
        <w:rPr>
          <w:rFonts w:hint="eastAsia" w:ascii="Times New Roman" w:hAnsi="Times New Roman" w:eastAsia="方正仿宋_GBK"/>
          <w:sz w:val="32"/>
        </w:rPr>
        <w:t>符合条件的企业首次可向</w:t>
      </w:r>
      <w:r>
        <w:rPr>
          <w:rFonts w:hint="eastAsia" w:ascii="Times New Roman" w:hAnsi="Times New Roman" w:eastAsia="方正仿宋_GBK"/>
          <w:sz w:val="32"/>
          <w:lang w:val="en-US" w:eastAsia="zh-CN"/>
        </w:rPr>
        <w:t>泰州</w:t>
      </w:r>
      <w:r>
        <w:rPr>
          <w:rFonts w:hint="eastAsia" w:ascii="Times New Roman" w:hAnsi="Times New Roman" w:eastAsia="方正仿宋_GBK"/>
          <w:sz w:val="32"/>
        </w:rPr>
        <w:t>市商务局提出进入“白名单”试点申请。“白名单”需满足以下条件：</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仿宋_GBK"/>
          <w:sz w:val="32"/>
        </w:rPr>
      </w:pPr>
      <w:r>
        <w:rPr>
          <w:rFonts w:hint="eastAsia" w:ascii="Times New Roman" w:hAnsi="Times New Roman" w:eastAsia="方正仿宋_GBK"/>
          <w:sz w:val="32"/>
        </w:rPr>
        <w:t>1. 企业应具备与试点研发业务相匹配的业务规模、研发技术和项目经验，具有对使用物品全流程追溯的能力，有良好的信用记录，无严重失信行为。</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仿宋_GBK"/>
          <w:sz w:val="32"/>
        </w:rPr>
      </w:pPr>
      <w:r>
        <w:rPr>
          <w:rFonts w:hint="eastAsia" w:ascii="Times New Roman" w:hAnsi="Times New Roman" w:eastAsia="方正仿宋_GBK"/>
          <w:sz w:val="32"/>
        </w:rPr>
        <w:t>2. 物品范围为生物医药企业在研发过程中所需物料或者辅料等</w:t>
      </w:r>
      <w:r>
        <w:rPr>
          <w:rFonts w:hint="eastAsia" w:ascii="Times New Roman" w:hAnsi="Times New Roman" w:eastAsia="方正仿宋_GBK"/>
          <w:sz w:val="32"/>
          <w:lang w:eastAsia="zh-CN"/>
        </w:rPr>
        <w:t>，</w:t>
      </w:r>
      <w:r>
        <w:rPr>
          <w:rFonts w:hint="eastAsia" w:ascii="Times New Roman" w:hAnsi="Times New Roman" w:eastAsia="方正仿宋_GBK"/>
          <w:sz w:val="32"/>
        </w:rPr>
        <w:t>且在《进口药品目录》内。</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仿宋_GBK"/>
          <w:sz w:val="32"/>
        </w:rPr>
      </w:pPr>
      <w:r>
        <w:rPr>
          <w:rFonts w:hint="eastAsia" w:ascii="Times New Roman" w:hAnsi="Times New Roman" w:eastAsia="方正仿宋_GBK"/>
          <w:sz w:val="32"/>
        </w:rPr>
        <w:t>3. 企业需建立健全内控制度，指定专人负责研发用物品进口管理工作，建立使用台账，进口物品仅限于研发用途（不得用于临床</w:t>
      </w:r>
      <w:r>
        <w:rPr>
          <w:rFonts w:hint="eastAsia" w:ascii="Times New Roman" w:hAnsi="Times New Roman" w:eastAsia="方正仿宋_GBK"/>
          <w:sz w:val="32"/>
          <w:u w:val="none"/>
          <w:lang w:eastAsia="zh-CN"/>
        </w:rPr>
        <w:t>、</w:t>
      </w:r>
      <w:r>
        <w:rPr>
          <w:rFonts w:hint="eastAsia" w:ascii="Times New Roman" w:hAnsi="Times New Roman" w:eastAsia="方正仿宋_GBK"/>
          <w:sz w:val="32"/>
        </w:rPr>
        <w:t>销售等其他用途），在使用过程中严格按照相关部门要求和企业内控制度进行管理和销毁。</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仿宋_GBK"/>
          <w:sz w:val="32"/>
        </w:rPr>
      </w:pPr>
      <w:r>
        <w:rPr>
          <w:rFonts w:hint="eastAsia" w:ascii="Times New Roman" w:hAnsi="Times New Roman" w:eastAsia="方正楷体_GBK" w:cs="方正楷体_GBK"/>
          <w:sz w:val="32"/>
        </w:rPr>
        <w:t>（三）“白名单”认定。</w:t>
      </w:r>
      <w:r>
        <w:rPr>
          <w:rFonts w:hint="eastAsia" w:ascii="Times New Roman" w:hAnsi="Times New Roman" w:eastAsia="方正仿宋_GBK"/>
          <w:sz w:val="32"/>
        </w:rPr>
        <w:t>泰州市联合推进机制负责对“白名单”试点企业资质能力、研发用物品功能用途及试点可行性进行审核评估，形成推荐意见后报省级联合推进机制认定。必要时要组织相关领域专家参与审核认定工作。对纳入“白名单”的企业实施快速认定。已纳入“白名单”的企业再次申请进口研发用物品可</w:t>
      </w:r>
      <w:r>
        <w:rPr>
          <w:rFonts w:hint="eastAsia" w:ascii="Times New Roman" w:hAnsi="Times New Roman" w:eastAsia="方正仿宋_GBK"/>
          <w:sz w:val="32"/>
          <w:lang w:eastAsia="zh-CN"/>
        </w:rPr>
        <w:t>直接</w:t>
      </w:r>
      <w:r>
        <w:rPr>
          <w:rFonts w:hint="eastAsia" w:ascii="Times New Roman" w:hAnsi="Times New Roman" w:eastAsia="方正仿宋_GBK"/>
          <w:sz w:val="32"/>
        </w:rPr>
        <w:t>向泰州市市场监管局申报，无需提交除进口研发用物品信息以外的其他申报材料。</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仿宋_GBK"/>
          <w:sz w:val="32"/>
        </w:rPr>
      </w:pPr>
      <w:r>
        <w:rPr>
          <w:rFonts w:hint="eastAsia" w:ascii="Times New Roman" w:hAnsi="Times New Roman" w:eastAsia="方正楷体_GBK" w:cs="方正楷体_GBK"/>
          <w:sz w:val="32"/>
        </w:rPr>
        <w:t>（四）“白名单”发布。</w:t>
      </w:r>
      <w:r>
        <w:rPr>
          <w:rFonts w:hint="eastAsia" w:ascii="Times New Roman" w:hAnsi="Times New Roman" w:eastAsia="方正仿宋_GBK"/>
          <w:sz w:val="32"/>
        </w:rPr>
        <w:t>“白名单”由省级联合推进机制成员单位共同确定并向社会发布。根据试点开展情况及实际需求，对“白名单”实施动态调整。</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仿宋_GBK"/>
          <w:sz w:val="32"/>
        </w:rPr>
      </w:pPr>
      <w:r>
        <w:rPr>
          <w:rFonts w:hint="eastAsia" w:ascii="Times New Roman" w:hAnsi="Times New Roman" w:eastAsia="方正楷体_GBK" w:cs="方正楷体_GBK"/>
          <w:sz w:val="32"/>
        </w:rPr>
        <w:t>（五）便利化通关。</w:t>
      </w:r>
      <w:r>
        <w:rPr>
          <w:rFonts w:hint="eastAsia" w:ascii="Times New Roman" w:hAnsi="Times New Roman" w:eastAsia="方正仿宋_GBK"/>
          <w:sz w:val="32"/>
        </w:rPr>
        <w:t>当“白名单”试点企业向泰州海关申报</w:t>
      </w:r>
      <w:r>
        <w:rPr>
          <w:rFonts w:hint="eastAsia" w:ascii="Times New Roman" w:hAnsi="Times New Roman" w:eastAsia="方正仿宋_GBK"/>
          <w:sz w:val="32"/>
          <w:lang w:val="en-US" w:eastAsia="zh-CN"/>
        </w:rPr>
        <w:t>通关</w:t>
      </w:r>
      <w:r>
        <w:rPr>
          <w:rFonts w:hint="eastAsia" w:ascii="Times New Roman" w:hAnsi="Times New Roman" w:eastAsia="方正仿宋_GBK"/>
          <w:sz w:val="32"/>
        </w:rPr>
        <w:t>时，对“白名单”内对应的物品，企业无需</w:t>
      </w:r>
      <w:r>
        <w:rPr>
          <w:rFonts w:hint="eastAsia" w:ascii="Times New Roman" w:hAnsi="Times New Roman" w:eastAsia="方正仿宋_GBK"/>
          <w:sz w:val="32"/>
          <w:lang w:val="en-US" w:eastAsia="zh-CN"/>
        </w:rPr>
        <w:t>提交</w:t>
      </w:r>
      <w:r>
        <w:rPr>
          <w:rFonts w:hint="eastAsia" w:ascii="Times New Roman" w:hAnsi="Times New Roman" w:eastAsia="方正仿宋_GBK"/>
          <w:sz w:val="32"/>
        </w:rPr>
        <w:t>《进口药品通关单》即可办理通关手续。</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黑体_GBK" w:cs="方正黑体_GBK"/>
          <w:sz w:val="32"/>
        </w:rPr>
      </w:pPr>
      <w:r>
        <w:rPr>
          <w:rFonts w:hint="eastAsia" w:ascii="Times New Roman" w:hAnsi="Times New Roman" w:eastAsia="方正黑体_GBK" w:cs="方正黑体_GBK"/>
          <w:sz w:val="32"/>
        </w:rPr>
        <w:t>四、事中事后监管</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仿宋_GBK"/>
          <w:sz w:val="32"/>
        </w:rPr>
      </w:pPr>
      <w:r>
        <w:rPr>
          <w:rFonts w:hint="eastAsia" w:ascii="Times New Roman" w:hAnsi="Times New Roman" w:eastAsia="方正仿宋_GBK"/>
          <w:sz w:val="32"/>
          <w:lang w:val="en-US" w:eastAsia="zh-CN"/>
        </w:rPr>
        <w:t>泰州市</w:t>
      </w:r>
      <w:r>
        <w:rPr>
          <w:rFonts w:hint="eastAsia" w:ascii="Times New Roman" w:hAnsi="Times New Roman" w:eastAsia="方正仿宋_GBK"/>
          <w:sz w:val="32"/>
        </w:rPr>
        <w:t>联合推进机制成员单位</w:t>
      </w:r>
      <w:r>
        <w:rPr>
          <w:rFonts w:hint="eastAsia" w:ascii="Times New Roman" w:hAnsi="Times New Roman" w:eastAsia="方正仿宋_GBK"/>
          <w:sz w:val="32"/>
          <w:lang w:val="en-US" w:eastAsia="zh-CN"/>
        </w:rPr>
        <w:t>要</w:t>
      </w:r>
      <w:r>
        <w:rPr>
          <w:rFonts w:hint="eastAsia" w:ascii="Times New Roman" w:hAnsi="Times New Roman" w:eastAsia="方正仿宋_GBK"/>
          <w:sz w:val="32"/>
        </w:rPr>
        <w:t>各司其职，加强事中事后监管，定期检查试点企业“白名单”物品使用情况，形成闭环管理</w:t>
      </w:r>
      <w:r>
        <w:rPr>
          <w:rFonts w:hint="eastAsia" w:ascii="Times New Roman" w:hAnsi="Times New Roman" w:eastAsia="方正仿宋_GBK"/>
          <w:sz w:val="32"/>
          <w:lang w:eastAsia="zh-CN"/>
        </w:rPr>
        <w:t>。</w:t>
      </w:r>
      <w:r>
        <w:rPr>
          <w:rFonts w:hint="eastAsia" w:ascii="Times New Roman" w:hAnsi="Times New Roman" w:eastAsia="方正仿宋_GBK"/>
          <w:sz w:val="32"/>
        </w:rPr>
        <w:t>如发现违规行为，立即停止相关企业“白名单”内物品使用，并取消试点资格，两年内不再接受</w:t>
      </w:r>
      <w:r>
        <w:rPr>
          <w:rFonts w:hint="eastAsia" w:ascii="Times New Roman" w:hAnsi="Times New Roman" w:eastAsia="方正仿宋_GBK"/>
          <w:sz w:val="32"/>
          <w:lang w:val="en-US" w:eastAsia="zh-CN"/>
        </w:rPr>
        <w:t>该企业</w:t>
      </w:r>
      <w:r>
        <w:rPr>
          <w:rFonts w:hint="eastAsia" w:ascii="Times New Roman" w:hAnsi="Times New Roman" w:eastAsia="方正仿宋_GBK"/>
          <w:sz w:val="32"/>
        </w:rPr>
        <w:t>“白名单”试点申请，相关处理结果及时报省级联合推进机制备案</w:t>
      </w:r>
      <w:r>
        <w:rPr>
          <w:rFonts w:hint="eastAsia" w:ascii="Times New Roman" w:hAnsi="Times New Roman" w:eastAsia="方正仿宋_GBK"/>
          <w:sz w:val="32"/>
          <w:lang w:eastAsia="zh-CN"/>
        </w:rPr>
        <w:t>。</w:t>
      </w:r>
      <w:r>
        <w:rPr>
          <w:rFonts w:hint="eastAsia" w:ascii="Times New Roman" w:hAnsi="Times New Roman" w:eastAsia="方正仿宋_GBK"/>
          <w:sz w:val="32"/>
        </w:rPr>
        <w:t>加强信用监管，将企业违法违规信息按规定纳入企业信用记录</w:t>
      </w:r>
      <w:r>
        <w:rPr>
          <w:rFonts w:hint="eastAsia" w:ascii="Times New Roman" w:hAnsi="Times New Roman" w:eastAsia="方正仿宋_GBK"/>
          <w:sz w:val="32"/>
          <w:lang w:eastAsia="zh-CN"/>
        </w:rPr>
        <w:t>，</w:t>
      </w:r>
      <w:r>
        <w:rPr>
          <w:rFonts w:hint="eastAsia" w:ascii="Times New Roman" w:hAnsi="Times New Roman" w:eastAsia="方正仿宋_GBK"/>
          <w:sz w:val="32"/>
        </w:rPr>
        <w:t>涉及刑事犯罪的，依法移送司法机关追究刑事责任。</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黑体_GBK" w:cs="方正黑体_GBK"/>
          <w:sz w:val="32"/>
        </w:rPr>
      </w:pPr>
      <w:r>
        <w:rPr>
          <w:rFonts w:hint="eastAsia" w:ascii="Times New Roman" w:hAnsi="Times New Roman" w:eastAsia="方正黑体_GBK" w:cs="方正黑体_GBK"/>
          <w:sz w:val="32"/>
        </w:rPr>
        <w:t>五、保障措施</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sz w:val="32"/>
          <w:lang w:val="en-US" w:eastAsia="zh-CN"/>
        </w:rPr>
      </w:pPr>
      <w:r>
        <w:rPr>
          <w:rFonts w:hint="eastAsia" w:ascii="Times New Roman" w:hAnsi="Times New Roman" w:eastAsia="方正楷体_GBK" w:cs="方正楷体_GBK"/>
          <w:sz w:val="32"/>
        </w:rPr>
        <w:t>（一）加强统筹协调推进。</w:t>
      </w:r>
      <w:r>
        <w:rPr>
          <w:rFonts w:hint="eastAsia" w:ascii="Times New Roman" w:hAnsi="Times New Roman" w:eastAsia="方正仿宋_GBK"/>
          <w:sz w:val="32"/>
        </w:rPr>
        <w:t>将生物医药研发用物品</w:t>
      </w:r>
      <w:r>
        <w:rPr>
          <w:rFonts w:hint="eastAsia" w:ascii="Times New Roman" w:hAnsi="Times New Roman" w:eastAsia="方正仿宋_GBK"/>
          <w:sz w:val="32"/>
          <w:lang w:val="en-US" w:eastAsia="zh-CN"/>
        </w:rPr>
        <w:t>进口</w:t>
      </w:r>
      <w:r>
        <w:rPr>
          <w:rFonts w:hint="eastAsia" w:ascii="Times New Roman" w:hAnsi="Times New Roman" w:eastAsia="方正仿宋_GBK"/>
          <w:sz w:val="32"/>
        </w:rPr>
        <w:t>“白名单”制度试点纳入自贸试验区联创区建设重点工作，强化部门协同</w:t>
      </w:r>
      <w:r>
        <w:rPr>
          <w:rFonts w:hint="eastAsia" w:ascii="Times New Roman" w:hAnsi="Times New Roman" w:eastAsia="方正仿宋_GBK"/>
          <w:sz w:val="32"/>
          <w:lang w:eastAsia="zh-CN"/>
        </w:rPr>
        <w:t>、</w:t>
      </w:r>
      <w:r>
        <w:rPr>
          <w:rFonts w:hint="eastAsia" w:ascii="Times New Roman" w:hAnsi="Times New Roman" w:eastAsia="方正仿宋_GBK"/>
          <w:sz w:val="32"/>
        </w:rPr>
        <w:t>上下联动</w:t>
      </w:r>
      <w:r>
        <w:rPr>
          <w:rFonts w:hint="eastAsia" w:ascii="Times New Roman" w:hAnsi="Times New Roman" w:eastAsia="方正仿宋_GBK"/>
          <w:sz w:val="32"/>
          <w:lang w:eastAsia="zh-CN"/>
        </w:rPr>
        <w:t>、</w:t>
      </w:r>
      <w:r>
        <w:rPr>
          <w:rFonts w:hint="eastAsia" w:ascii="Times New Roman" w:hAnsi="Times New Roman" w:eastAsia="方正仿宋_GBK"/>
          <w:sz w:val="32"/>
        </w:rPr>
        <w:t>信息互通，及时研究解决试点工作中出现的问题，有效形成工作合力。</w:t>
      </w:r>
      <w:r>
        <w:rPr>
          <w:rFonts w:hint="eastAsia" w:ascii="Times New Roman" w:hAnsi="Times New Roman" w:eastAsia="方正仿宋_GBK"/>
          <w:sz w:val="32"/>
          <w:lang w:eastAsia="zh-CN"/>
        </w:rPr>
        <w:t>依托信息化平台，实现“白名单”信息与申报信息比对。</w:t>
      </w:r>
      <w:r>
        <w:rPr>
          <w:rFonts w:hint="eastAsia" w:ascii="Times New Roman" w:hAnsi="Times New Roman" w:eastAsia="方正仿宋_GBK"/>
          <w:sz w:val="32"/>
        </w:rPr>
        <w:t>泰州市</w:t>
      </w:r>
      <w:r>
        <w:rPr>
          <w:rFonts w:hint="eastAsia" w:ascii="Times New Roman" w:hAnsi="Times New Roman" w:eastAsia="方正仿宋_GBK"/>
          <w:sz w:val="32"/>
          <w:lang w:val="en-US" w:eastAsia="zh-CN"/>
        </w:rPr>
        <w:t>要</w:t>
      </w:r>
      <w:r>
        <w:rPr>
          <w:rFonts w:hint="eastAsia" w:ascii="Times New Roman" w:hAnsi="Times New Roman" w:eastAsia="方正仿宋_GBK"/>
          <w:sz w:val="32"/>
        </w:rPr>
        <w:t>加强试点工作跟踪调研和效果评估，及时向省有关部门报告试点进展。</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仿宋_GBK"/>
          <w:sz w:val="32"/>
        </w:rPr>
      </w:pPr>
      <w:r>
        <w:rPr>
          <w:rFonts w:hint="eastAsia" w:ascii="Times New Roman" w:hAnsi="Times New Roman" w:eastAsia="方正楷体_GBK" w:cs="方正楷体_GBK"/>
          <w:sz w:val="32"/>
        </w:rPr>
        <w:t>（二）压实企业主体责任。</w:t>
      </w:r>
      <w:r>
        <w:rPr>
          <w:rFonts w:hint="eastAsia" w:ascii="Times New Roman" w:hAnsi="Times New Roman" w:eastAsia="方正仿宋_GBK"/>
          <w:sz w:val="32"/>
        </w:rPr>
        <w:t>试点企业要严格按照申请用途开展研发工作，建立登记、使用台账并严格逐笔记录，加强研发用物品的质量安全、使用管理以及风险防控，确保“白名单”物品不得用于临床、销售等其他</w:t>
      </w:r>
      <w:r>
        <w:rPr>
          <w:rFonts w:hint="eastAsia" w:ascii="Times New Roman" w:hAnsi="Times New Roman" w:eastAsia="方正仿宋_GBK"/>
          <w:sz w:val="32"/>
          <w:lang w:val="en-US" w:eastAsia="zh-CN"/>
        </w:rPr>
        <w:t>方面</w:t>
      </w:r>
      <w:r>
        <w:rPr>
          <w:rFonts w:hint="eastAsia" w:ascii="Times New Roman" w:hAnsi="Times New Roman" w:eastAsia="方正仿宋_GBK"/>
          <w:sz w:val="32"/>
        </w:rPr>
        <w:t>。在使用过程中或在研发活动结束后，要及时向泰州市市场监管局报告“白名单”物品使用和处置情况。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仿宋_GBK"/>
          <w:sz w:val="32"/>
        </w:rPr>
      </w:pPr>
      <w:r>
        <w:rPr>
          <w:rFonts w:hint="eastAsia" w:ascii="Times New Roman" w:hAnsi="Times New Roman" w:eastAsia="方正楷体_GBK" w:cs="方正楷体_GBK"/>
          <w:sz w:val="32"/>
        </w:rPr>
        <w:t>（三）推动政策落细落实。</w:t>
      </w:r>
      <w:r>
        <w:rPr>
          <w:rFonts w:hint="eastAsia" w:ascii="Times New Roman" w:hAnsi="Times New Roman" w:eastAsia="方正仿宋_GBK"/>
          <w:sz w:val="32"/>
        </w:rPr>
        <w:t>泰州市要进一步细化明确“白名单”申请要求及企业办理程序，及时受理企业申请。定期组织开展“白名单”制度宣传培训，扩大政策知晓面，不断放大试点效应。</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仿宋_GBK"/>
          <w:sz w:val="32"/>
        </w:rPr>
      </w:pPr>
      <w:r>
        <w:rPr>
          <w:rFonts w:hint="eastAsia" w:ascii="Times New Roman" w:hAnsi="Times New Roman" w:eastAsia="方正仿宋_GBK"/>
          <w:sz w:val="32"/>
        </w:rPr>
        <w:br w:type="page"/>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仿宋_GBK"/>
          <w:sz w:val="32"/>
        </w:rPr>
      </w:pPr>
    </w:p>
    <w:p>
      <w:pPr>
        <w:spacing w:line="560" w:lineRule="exact"/>
        <w:jc w:val="center"/>
        <w:rPr>
          <w:rFonts w:hint="eastAsia" w:ascii="方正小标宋_GBK" w:hAnsi="方正小标宋_GBK" w:eastAsia="方正小标宋_GBK" w:cs="方正小标宋_GBK"/>
          <w:sz w:val="44"/>
        </w:rPr>
      </w:pPr>
      <w:r>
        <w:rPr>
          <w:rFonts w:hint="eastAsia" w:ascii="方正小标宋_GBK" w:hAnsi="方正小标宋_GBK" w:eastAsia="方正小标宋_GBK" w:cs="方正小标宋_GBK"/>
          <w:sz w:val="44"/>
        </w:rPr>
        <w:t>泰州市生物医药研发用物品进口“白名单”</w:t>
      </w:r>
    </w:p>
    <w:p>
      <w:pPr>
        <w:spacing w:line="560" w:lineRule="exact"/>
        <w:jc w:val="center"/>
        <w:rPr>
          <w:rFonts w:hint="eastAsia" w:ascii="方正楷体_GBK" w:hAnsi="方正楷体_GBK" w:eastAsia="方正楷体_GBK" w:cs="方正楷体_GBK"/>
          <w:sz w:val="32"/>
          <w:szCs w:val="18"/>
          <w:lang w:val="en-US" w:eastAsia="zh-CN"/>
        </w:rPr>
      </w:pPr>
      <w:r>
        <w:rPr>
          <w:rFonts w:hint="eastAsia" w:ascii="方正楷体_GBK" w:hAnsi="方正楷体_GBK" w:eastAsia="方正楷体_GBK" w:cs="方正楷体_GBK"/>
          <w:sz w:val="32"/>
          <w:szCs w:val="18"/>
          <w:lang w:val="en-US" w:eastAsia="zh-CN"/>
        </w:rPr>
        <w:t>（第一批）</w:t>
      </w:r>
    </w:p>
    <w:p>
      <w:pPr>
        <w:spacing w:line="560" w:lineRule="exact"/>
        <w:jc w:val="center"/>
        <w:rPr>
          <w:rFonts w:hint="default" w:ascii="方正楷体_GBK" w:hAnsi="方正楷体_GBK" w:eastAsia="方正楷体_GBK" w:cs="方正楷体_GBK"/>
          <w:sz w:val="32"/>
          <w:szCs w:val="18"/>
          <w:lang w:val="en-US" w:eastAsia="zh-CN"/>
        </w:rPr>
      </w:pPr>
    </w:p>
    <w:tbl>
      <w:tblPr>
        <w:tblStyle w:val="3"/>
        <w:tblW w:w="9358" w:type="dxa"/>
        <w:tblInd w:w="-20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7"/>
        <w:gridCol w:w="1657"/>
        <w:gridCol w:w="2093"/>
        <w:gridCol w:w="1541"/>
        <w:gridCol w:w="1180"/>
        <w:gridCol w:w="18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7" w:type="dxa"/>
            <w:noWrap w:val="0"/>
            <w:vAlign w:val="center"/>
          </w:tcPr>
          <w:p>
            <w:pPr>
              <w:spacing w:after="120" w:afterLines="50" w:line="600" w:lineRule="exact"/>
              <w:jc w:val="center"/>
              <w:rPr>
                <w:rFonts w:hint="eastAsia" w:ascii="Times New Roman" w:hAnsi="Times New Roman" w:eastAsia="方正黑体_GBK" w:cs="方正黑体_GBK"/>
                <w:sz w:val="28"/>
                <w:szCs w:val="28"/>
              </w:rPr>
            </w:pPr>
            <w:r>
              <w:rPr>
                <w:rFonts w:hint="eastAsia" w:ascii="Times New Roman" w:hAnsi="Times New Roman" w:eastAsia="方正黑体_GBK" w:cs="方正黑体_GBK"/>
                <w:sz w:val="28"/>
                <w:szCs w:val="28"/>
              </w:rPr>
              <w:t>序号</w:t>
            </w:r>
          </w:p>
        </w:tc>
        <w:tc>
          <w:tcPr>
            <w:tcW w:w="1657" w:type="dxa"/>
            <w:noWrap w:val="0"/>
            <w:vAlign w:val="center"/>
          </w:tcPr>
          <w:p>
            <w:pPr>
              <w:spacing w:after="120" w:afterLines="50" w:line="600" w:lineRule="exact"/>
              <w:jc w:val="center"/>
              <w:rPr>
                <w:rFonts w:hint="eastAsia" w:ascii="Times New Roman" w:hAnsi="Times New Roman" w:eastAsia="方正黑体_GBK" w:cs="方正黑体_GBK"/>
                <w:sz w:val="28"/>
                <w:szCs w:val="28"/>
              </w:rPr>
            </w:pPr>
            <w:r>
              <w:rPr>
                <w:rFonts w:hint="eastAsia" w:ascii="Times New Roman" w:hAnsi="Times New Roman" w:eastAsia="方正黑体_GBK" w:cs="方正黑体_GBK"/>
                <w:sz w:val="28"/>
                <w:szCs w:val="28"/>
              </w:rPr>
              <w:t>企业名称</w:t>
            </w:r>
          </w:p>
        </w:tc>
        <w:tc>
          <w:tcPr>
            <w:tcW w:w="2093" w:type="dxa"/>
            <w:noWrap w:val="0"/>
            <w:vAlign w:val="center"/>
          </w:tcPr>
          <w:p>
            <w:pPr>
              <w:spacing w:after="120" w:afterLines="50" w:line="600" w:lineRule="exact"/>
              <w:jc w:val="center"/>
              <w:rPr>
                <w:rFonts w:hint="eastAsia" w:ascii="Times New Roman" w:hAnsi="Times New Roman" w:eastAsia="方正黑体_GBK" w:cs="方正黑体_GBK"/>
                <w:sz w:val="28"/>
                <w:szCs w:val="28"/>
              </w:rPr>
            </w:pPr>
            <w:r>
              <w:rPr>
                <w:rFonts w:hint="eastAsia" w:ascii="Times New Roman" w:hAnsi="Times New Roman" w:eastAsia="方正黑体_GBK" w:cs="方正黑体_GBK"/>
                <w:sz w:val="28"/>
                <w:szCs w:val="28"/>
              </w:rPr>
              <w:t>物品名称</w:t>
            </w:r>
          </w:p>
        </w:tc>
        <w:tc>
          <w:tcPr>
            <w:tcW w:w="1541" w:type="dxa"/>
            <w:noWrap w:val="0"/>
            <w:vAlign w:val="center"/>
          </w:tcPr>
          <w:p>
            <w:pPr>
              <w:spacing w:after="120" w:afterLines="50" w:line="600" w:lineRule="exact"/>
              <w:jc w:val="center"/>
              <w:rPr>
                <w:rFonts w:hint="eastAsia" w:ascii="Times New Roman" w:hAnsi="Times New Roman" w:eastAsia="方正黑体_GBK" w:cs="方正黑体_GBK"/>
                <w:sz w:val="28"/>
                <w:szCs w:val="28"/>
              </w:rPr>
            </w:pPr>
            <w:r>
              <w:rPr>
                <w:rFonts w:hint="eastAsia" w:ascii="Times New Roman" w:hAnsi="Times New Roman" w:eastAsia="方正黑体_GBK" w:cs="方正黑体_GBK"/>
                <w:sz w:val="28"/>
                <w:szCs w:val="28"/>
              </w:rPr>
              <w:t>规格型号</w:t>
            </w:r>
          </w:p>
        </w:tc>
        <w:tc>
          <w:tcPr>
            <w:tcW w:w="1180" w:type="dxa"/>
            <w:noWrap w:val="0"/>
            <w:vAlign w:val="center"/>
          </w:tcPr>
          <w:p>
            <w:pPr>
              <w:spacing w:after="120" w:afterLines="50" w:line="600" w:lineRule="exact"/>
              <w:jc w:val="center"/>
              <w:rPr>
                <w:rFonts w:hint="eastAsia" w:ascii="Times New Roman" w:hAnsi="Times New Roman" w:eastAsia="方正黑体_GBK" w:cs="方正黑体_GBK"/>
                <w:sz w:val="28"/>
                <w:szCs w:val="28"/>
              </w:rPr>
            </w:pPr>
            <w:r>
              <w:rPr>
                <w:rFonts w:hint="eastAsia" w:ascii="Times New Roman" w:hAnsi="Times New Roman" w:eastAsia="方正黑体_GBK" w:cs="方正黑体_GBK"/>
                <w:sz w:val="28"/>
                <w:szCs w:val="28"/>
              </w:rPr>
              <w:t>进口量</w:t>
            </w:r>
          </w:p>
        </w:tc>
        <w:tc>
          <w:tcPr>
            <w:tcW w:w="1810" w:type="dxa"/>
            <w:noWrap w:val="0"/>
            <w:vAlign w:val="center"/>
          </w:tcPr>
          <w:p>
            <w:pPr>
              <w:spacing w:after="120" w:afterLines="50" w:line="600" w:lineRule="exact"/>
              <w:jc w:val="center"/>
              <w:rPr>
                <w:rFonts w:hint="eastAsia" w:ascii="Times New Roman" w:hAnsi="Times New Roman" w:eastAsia="方正黑体_GBK" w:cs="方正黑体_GBK"/>
                <w:sz w:val="28"/>
                <w:szCs w:val="28"/>
              </w:rPr>
            </w:pPr>
            <w:r>
              <w:rPr>
                <w:rFonts w:hint="eastAsia" w:ascii="Times New Roman" w:hAnsi="Times New Roman" w:eastAsia="方正黑体_GBK" w:cs="方正黑体_GBK"/>
                <w:bCs/>
                <w:sz w:val="28"/>
                <w:szCs w:val="28"/>
              </w:rPr>
              <w:t>申报</w:t>
            </w:r>
            <w:r>
              <w:rPr>
                <w:rFonts w:hint="eastAsia" w:ascii="Times New Roman" w:hAnsi="Times New Roman" w:eastAsia="方正黑体_GBK" w:cs="方正黑体_GBK"/>
                <w:sz w:val="28"/>
                <w:szCs w:val="28"/>
              </w:rPr>
              <w:t>HS编码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7" w:type="dxa"/>
            <w:noWrap w:val="0"/>
            <w:vAlign w:val="center"/>
          </w:tcPr>
          <w:p>
            <w:pPr>
              <w:pStyle w:val="2"/>
              <w:spacing w:before="0" w:beforeAutospacing="0" w:after="120" w:afterLines="50" w:afterAutospacing="0" w:line="400" w:lineRule="exact"/>
              <w:jc w:val="center"/>
              <w:rPr>
                <w:rFonts w:ascii="Times New Roman" w:hAnsi="Times New Roman" w:eastAsia="仿宋_GB2312"/>
                <w:kern w:val="2"/>
                <w:sz w:val="28"/>
                <w:szCs w:val="28"/>
              </w:rPr>
            </w:pPr>
            <w:r>
              <w:rPr>
                <w:rFonts w:hint="eastAsia" w:ascii="Times New Roman" w:hAnsi="Times New Roman" w:eastAsia="方正仿宋_GBK"/>
                <w:kern w:val="2"/>
                <w:sz w:val="28"/>
                <w:szCs w:val="28"/>
              </w:rPr>
              <w:t>1</w:t>
            </w:r>
          </w:p>
        </w:tc>
        <w:tc>
          <w:tcPr>
            <w:tcW w:w="1657" w:type="dxa"/>
            <w:vMerge w:val="restart"/>
            <w:noWrap w:val="0"/>
            <w:vAlign w:val="center"/>
          </w:tcPr>
          <w:p>
            <w:pPr>
              <w:spacing w:line="400" w:lineRule="exact"/>
              <w:jc w:val="left"/>
              <w:rPr>
                <w:rFonts w:ascii="Times New Roman" w:hAnsi="Times New Roman" w:eastAsia="方正仿宋_GBK"/>
                <w:sz w:val="28"/>
                <w:szCs w:val="28"/>
              </w:rPr>
            </w:pPr>
            <w:r>
              <w:rPr>
                <w:rFonts w:ascii="Times New Roman" w:hAnsi="Times New Roman" w:eastAsia="方正仿宋_GBK"/>
                <w:sz w:val="28"/>
                <w:szCs w:val="28"/>
              </w:rPr>
              <w:t>安若维他药业泰州有限公司</w:t>
            </w:r>
          </w:p>
        </w:tc>
        <w:tc>
          <w:tcPr>
            <w:tcW w:w="2093" w:type="dxa"/>
            <w:noWrap w:val="0"/>
            <w:vAlign w:val="center"/>
          </w:tcPr>
          <w:p>
            <w:pPr>
              <w:pStyle w:val="2"/>
              <w:spacing w:before="120" w:beforeLines="50" w:beforeAutospacing="0" w:after="120" w:afterLines="50" w:afterAutospacing="0" w:line="400" w:lineRule="exact"/>
              <w:jc w:val="center"/>
              <w:rPr>
                <w:rFonts w:ascii="Times New Roman" w:hAnsi="Times New Roman" w:eastAsia="方正仿宋_GBK"/>
                <w:color w:val="auto"/>
                <w:kern w:val="2"/>
                <w:sz w:val="28"/>
                <w:szCs w:val="28"/>
              </w:rPr>
            </w:pPr>
            <w:r>
              <w:rPr>
                <w:rFonts w:ascii="Times New Roman" w:hAnsi="Times New Roman" w:eastAsia="方正仿宋_GBK"/>
                <w:color w:val="auto"/>
                <w:kern w:val="2"/>
                <w:sz w:val="28"/>
                <w:szCs w:val="28"/>
              </w:rPr>
              <w:t>坦索罗辛微丸</w:t>
            </w:r>
          </w:p>
        </w:tc>
        <w:tc>
          <w:tcPr>
            <w:tcW w:w="1541" w:type="dxa"/>
            <w:noWrap w:val="0"/>
            <w:vAlign w:val="center"/>
          </w:tcPr>
          <w:p>
            <w:pPr>
              <w:pStyle w:val="2"/>
              <w:spacing w:before="120" w:beforeLines="50" w:beforeAutospacing="0" w:after="120" w:afterLines="50" w:afterAutospacing="0" w:line="400" w:lineRule="exact"/>
              <w:jc w:val="center"/>
              <w:rPr>
                <w:rFonts w:ascii="Times New Roman" w:hAnsi="Times New Roman" w:eastAsia="方正仿宋_GBK"/>
                <w:color w:val="auto"/>
                <w:kern w:val="2"/>
                <w:sz w:val="28"/>
                <w:szCs w:val="28"/>
              </w:rPr>
            </w:pPr>
            <w:r>
              <w:rPr>
                <w:rFonts w:hint="eastAsia" w:ascii="Times New Roman" w:hAnsi="Times New Roman" w:eastAsia="方正仿宋_GBK"/>
                <w:color w:val="auto"/>
                <w:kern w:val="2"/>
                <w:sz w:val="28"/>
                <w:szCs w:val="28"/>
              </w:rPr>
              <w:t>20kg/桶</w:t>
            </w:r>
          </w:p>
        </w:tc>
        <w:tc>
          <w:tcPr>
            <w:tcW w:w="1180" w:type="dxa"/>
            <w:noWrap w:val="0"/>
            <w:vAlign w:val="center"/>
          </w:tcPr>
          <w:p>
            <w:pPr>
              <w:pStyle w:val="2"/>
              <w:spacing w:before="120" w:beforeLines="50" w:beforeAutospacing="0" w:after="120" w:afterLines="50" w:afterAutospacing="0" w:line="400" w:lineRule="exact"/>
              <w:jc w:val="center"/>
              <w:rPr>
                <w:rFonts w:ascii="Times New Roman" w:hAnsi="Times New Roman" w:eastAsia="方正仿宋_GBK"/>
                <w:color w:val="auto"/>
                <w:kern w:val="2"/>
                <w:sz w:val="28"/>
                <w:szCs w:val="28"/>
              </w:rPr>
            </w:pPr>
            <w:r>
              <w:rPr>
                <w:rFonts w:hint="eastAsia" w:ascii="Times New Roman" w:hAnsi="Times New Roman" w:eastAsia="方正仿宋_GBK"/>
                <w:color w:val="auto"/>
                <w:kern w:val="2"/>
                <w:sz w:val="28"/>
                <w:szCs w:val="28"/>
              </w:rPr>
              <w:t>2</w:t>
            </w:r>
            <w:r>
              <w:rPr>
                <w:rFonts w:ascii="Times New Roman" w:hAnsi="Times New Roman" w:eastAsia="方正仿宋_GBK"/>
                <w:color w:val="auto"/>
                <w:kern w:val="2"/>
                <w:sz w:val="28"/>
                <w:szCs w:val="28"/>
              </w:rPr>
              <w:t>0</w:t>
            </w:r>
            <w:r>
              <w:rPr>
                <w:rFonts w:hint="eastAsia" w:ascii="Times New Roman" w:hAnsi="Times New Roman" w:eastAsia="方正仿宋_GBK"/>
                <w:color w:val="auto"/>
                <w:kern w:val="2"/>
                <w:sz w:val="28"/>
                <w:szCs w:val="28"/>
              </w:rPr>
              <w:t>kg</w:t>
            </w:r>
          </w:p>
        </w:tc>
        <w:tc>
          <w:tcPr>
            <w:tcW w:w="1810" w:type="dxa"/>
            <w:noWrap w:val="0"/>
            <w:vAlign w:val="center"/>
          </w:tcPr>
          <w:p>
            <w:pPr>
              <w:pStyle w:val="2"/>
              <w:spacing w:before="120" w:beforeLines="50" w:beforeAutospacing="0" w:after="120" w:afterLines="50" w:afterAutospacing="0" w:line="400" w:lineRule="exact"/>
              <w:jc w:val="center"/>
              <w:rPr>
                <w:rFonts w:hint="default" w:ascii="Times New Roman" w:hAnsi="Times New Roman" w:eastAsia="方正仿宋_GBK"/>
                <w:color w:val="auto"/>
                <w:kern w:val="2"/>
                <w:sz w:val="28"/>
                <w:szCs w:val="28"/>
                <w:lang w:val="en-US" w:eastAsia="zh-CN"/>
              </w:rPr>
            </w:pPr>
            <w:r>
              <w:rPr>
                <w:rFonts w:hint="eastAsia" w:ascii="Times New Roman" w:hAnsi="Times New Roman" w:eastAsia="方正仿宋_GBK"/>
                <w:color w:val="auto"/>
                <w:kern w:val="2"/>
                <w:sz w:val="28"/>
                <w:szCs w:val="28"/>
                <w:lang w:val="en-US" w:eastAsia="zh-CN"/>
              </w:rPr>
              <w:t>30039000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7" w:type="dxa"/>
            <w:noWrap w:val="0"/>
            <w:vAlign w:val="center"/>
          </w:tcPr>
          <w:p>
            <w:pPr>
              <w:spacing w:after="120" w:afterLines="50" w:line="400" w:lineRule="exact"/>
              <w:jc w:val="center"/>
              <w:rPr>
                <w:rFonts w:ascii="Times New Roman" w:hAnsi="Times New Roman" w:eastAsia="仿宋_GB2312"/>
                <w:sz w:val="28"/>
                <w:szCs w:val="28"/>
              </w:rPr>
            </w:pPr>
            <w:r>
              <w:rPr>
                <w:rFonts w:hint="eastAsia" w:ascii="Times New Roman" w:hAnsi="Times New Roman" w:eastAsia="方正仿宋_GBK"/>
                <w:sz w:val="28"/>
                <w:szCs w:val="28"/>
              </w:rPr>
              <w:t>2</w:t>
            </w:r>
          </w:p>
        </w:tc>
        <w:tc>
          <w:tcPr>
            <w:tcW w:w="1657" w:type="dxa"/>
            <w:vMerge w:val="continue"/>
            <w:noWrap w:val="0"/>
            <w:vAlign w:val="center"/>
          </w:tcPr>
          <w:p>
            <w:pPr>
              <w:spacing w:before="120" w:beforeLines="50" w:after="120" w:afterLines="50" w:line="400" w:lineRule="exact"/>
              <w:jc w:val="left"/>
              <w:rPr>
                <w:rFonts w:hint="eastAsia" w:ascii="Times New Roman" w:hAnsi="Times New Roman" w:eastAsia="方正仿宋_GBK"/>
                <w:sz w:val="28"/>
                <w:szCs w:val="28"/>
              </w:rPr>
            </w:pPr>
          </w:p>
        </w:tc>
        <w:tc>
          <w:tcPr>
            <w:tcW w:w="2093" w:type="dxa"/>
            <w:noWrap w:val="0"/>
            <w:vAlign w:val="center"/>
          </w:tcPr>
          <w:p>
            <w:pPr>
              <w:spacing w:line="400" w:lineRule="exact"/>
              <w:jc w:val="center"/>
              <w:rPr>
                <w:rFonts w:hint="eastAsia" w:ascii="Times New Roman" w:hAnsi="Times New Roman" w:eastAsia="方正仿宋_GBK"/>
                <w:sz w:val="28"/>
                <w:szCs w:val="28"/>
              </w:rPr>
            </w:pPr>
            <w:r>
              <w:rPr>
                <w:rFonts w:hint="eastAsia" w:ascii="Times New Roman" w:hAnsi="Times New Roman" w:eastAsia="方正仿宋_GBK"/>
                <w:sz w:val="28"/>
                <w:szCs w:val="28"/>
              </w:rPr>
              <w:t>加巴喷丁酯</w:t>
            </w:r>
          </w:p>
          <w:p>
            <w:pPr>
              <w:spacing w:line="400" w:lineRule="exact"/>
              <w:jc w:val="center"/>
              <w:rPr>
                <w:rFonts w:hint="eastAsia" w:ascii="Times New Roman" w:hAnsi="Times New Roman" w:eastAsia="方正仿宋_GBK"/>
                <w:sz w:val="28"/>
                <w:szCs w:val="28"/>
              </w:rPr>
            </w:pPr>
            <w:r>
              <w:rPr>
                <w:rFonts w:hint="eastAsia" w:ascii="Times New Roman" w:hAnsi="Times New Roman" w:eastAsia="方正仿宋_GBK"/>
                <w:sz w:val="28"/>
                <w:szCs w:val="28"/>
              </w:rPr>
              <w:t>（制剂）</w:t>
            </w:r>
          </w:p>
        </w:tc>
        <w:tc>
          <w:tcPr>
            <w:tcW w:w="1541" w:type="dxa"/>
            <w:noWrap w:val="0"/>
            <w:vAlign w:val="center"/>
          </w:tcPr>
          <w:p>
            <w:pPr>
              <w:spacing w:before="120" w:beforeLines="50" w:after="120" w:afterLines="50" w:line="400" w:lineRule="exact"/>
              <w:jc w:val="center"/>
              <w:rPr>
                <w:rFonts w:hint="eastAsia" w:ascii="Times New Roman" w:hAnsi="Times New Roman" w:eastAsia="方正仿宋_GBK"/>
                <w:sz w:val="28"/>
                <w:szCs w:val="28"/>
              </w:rPr>
            </w:pPr>
            <w:r>
              <w:rPr>
                <w:rFonts w:hint="eastAsia" w:ascii="Times New Roman" w:hAnsi="Times New Roman" w:eastAsia="方正仿宋_GBK"/>
                <w:sz w:val="28"/>
                <w:szCs w:val="28"/>
              </w:rPr>
              <w:t>3</w:t>
            </w:r>
            <w:r>
              <w:rPr>
                <w:rFonts w:ascii="Times New Roman" w:hAnsi="Times New Roman" w:eastAsia="方正仿宋_GBK"/>
                <w:sz w:val="28"/>
                <w:szCs w:val="28"/>
              </w:rPr>
              <w:t>0</w:t>
            </w:r>
            <w:r>
              <w:rPr>
                <w:rFonts w:hint="eastAsia" w:ascii="Times New Roman" w:hAnsi="Times New Roman" w:eastAsia="方正仿宋_GBK"/>
                <w:sz w:val="28"/>
                <w:szCs w:val="28"/>
              </w:rPr>
              <w:t>片/瓶</w:t>
            </w:r>
          </w:p>
        </w:tc>
        <w:tc>
          <w:tcPr>
            <w:tcW w:w="1180" w:type="dxa"/>
            <w:noWrap w:val="0"/>
            <w:vAlign w:val="center"/>
          </w:tcPr>
          <w:p>
            <w:pPr>
              <w:spacing w:before="120" w:beforeLines="50" w:after="120" w:afterLines="50" w:line="400" w:lineRule="exact"/>
              <w:jc w:val="center"/>
              <w:rPr>
                <w:rFonts w:hint="eastAsia" w:ascii="Times New Roman" w:hAnsi="Times New Roman" w:eastAsia="方正仿宋_GBK"/>
                <w:sz w:val="28"/>
                <w:szCs w:val="28"/>
              </w:rPr>
            </w:pPr>
            <w:r>
              <w:rPr>
                <w:rFonts w:ascii="Times New Roman" w:hAnsi="Times New Roman" w:eastAsia="方正仿宋_GBK"/>
                <w:sz w:val="28"/>
                <w:szCs w:val="28"/>
              </w:rPr>
              <w:t>12</w:t>
            </w:r>
            <w:r>
              <w:rPr>
                <w:rFonts w:hint="eastAsia" w:ascii="Times New Roman" w:hAnsi="Times New Roman" w:eastAsia="方正仿宋_GBK"/>
                <w:sz w:val="28"/>
                <w:szCs w:val="28"/>
              </w:rPr>
              <w:t>瓶</w:t>
            </w:r>
          </w:p>
        </w:tc>
        <w:tc>
          <w:tcPr>
            <w:tcW w:w="1810" w:type="dxa"/>
            <w:noWrap w:val="0"/>
            <w:vAlign w:val="center"/>
          </w:tcPr>
          <w:p>
            <w:pPr>
              <w:spacing w:before="120" w:beforeLines="50" w:after="120" w:afterLines="50" w:line="400" w:lineRule="exact"/>
              <w:jc w:val="center"/>
              <w:rPr>
                <w:rFonts w:hint="eastAsia" w:ascii="Times New Roman" w:hAnsi="Times New Roman" w:eastAsia="方正仿宋_GBK"/>
                <w:sz w:val="28"/>
                <w:szCs w:val="28"/>
              </w:rPr>
            </w:pPr>
            <w:r>
              <w:rPr>
                <w:rFonts w:ascii="Times New Roman" w:hAnsi="Times New Roman" w:eastAsia="方正仿宋_GBK"/>
                <w:sz w:val="28"/>
                <w:szCs w:val="28"/>
              </w:rPr>
              <w:t>30049090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77" w:type="dxa"/>
            <w:noWrap w:val="0"/>
            <w:vAlign w:val="center"/>
          </w:tcPr>
          <w:p>
            <w:pPr>
              <w:spacing w:after="120" w:afterLines="50" w:line="400" w:lineRule="exact"/>
              <w:jc w:val="center"/>
              <w:rPr>
                <w:rFonts w:ascii="Times New Roman" w:hAnsi="Times New Roman" w:eastAsia="仿宋_GB2312"/>
                <w:sz w:val="28"/>
                <w:szCs w:val="28"/>
              </w:rPr>
            </w:pPr>
            <w:r>
              <w:rPr>
                <w:rFonts w:hint="eastAsia" w:ascii="Times New Roman" w:hAnsi="Times New Roman" w:eastAsia="方正仿宋_GBK"/>
                <w:sz w:val="28"/>
                <w:szCs w:val="28"/>
              </w:rPr>
              <w:t>3</w:t>
            </w:r>
          </w:p>
        </w:tc>
        <w:tc>
          <w:tcPr>
            <w:tcW w:w="1657" w:type="dxa"/>
            <w:vMerge w:val="continue"/>
            <w:noWrap w:val="0"/>
            <w:vAlign w:val="center"/>
          </w:tcPr>
          <w:p>
            <w:pPr>
              <w:spacing w:before="120" w:beforeLines="50" w:after="120" w:afterLines="50" w:line="400" w:lineRule="exact"/>
              <w:jc w:val="left"/>
              <w:rPr>
                <w:rFonts w:hint="eastAsia" w:ascii="Times New Roman" w:hAnsi="Times New Roman" w:eastAsia="方正仿宋_GBK"/>
                <w:sz w:val="28"/>
                <w:szCs w:val="28"/>
              </w:rPr>
            </w:pPr>
          </w:p>
        </w:tc>
        <w:tc>
          <w:tcPr>
            <w:tcW w:w="2093" w:type="dxa"/>
            <w:noWrap w:val="0"/>
            <w:vAlign w:val="center"/>
          </w:tcPr>
          <w:p>
            <w:pPr>
              <w:spacing w:before="120" w:beforeLines="50" w:after="120" w:afterLines="50" w:line="400" w:lineRule="exact"/>
              <w:jc w:val="center"/>
              <w:rPr>
                <w:rFonts w:hint="eastAsia" w:ascii="Times New Roman" w:hAnsi="Times New Roman" w:eastAsia="方正仿宋_GBK"/>
                <w:sz w:val="28"/>
                <w:szCs w:val="28"/>
              </w:rPr>
            </w:pPr>
            <w:r>
              <w:rPr>
                <w:rFonts w:hint="eastAsia" w:ascii="Times New Roman" w:hAnsi="Times New Roman" w:eastAsia="方正仿宋_GBK"/>
                <w:sz w:val="28"/>
                <w:szCs w:val="28"/>
              </w:rPr>
              <w:t>溴夫定（制剂）</w:t>
            </w:r>
          </w:p>
        </w:tc>
        <w:tc>
          <w:tcPr>
            <w:tcW w:w="1541" w:type="dxa"/>
            <w:noWrap w:val="0"/>
            <w:vAlign w:val="center"/>
          </w:tcPr>
          <w:p>
            <w:pPr>
              <w:spacing w:before="120" w:beforeLines="50" w:after="120" w:afterLines="50" w:line="400" w:lineRule="exact"/>
              <w:jc w:val="center"/>
              <w:rPr>
                <w:rFonts w:hint="eastAsia" w:ascii="Times New Roman" w:hAnsi="Times New Roman" w:eastAsia="方正仿宋_GBK"/>
                <w:sz w:val="28"/>
                <w:szCs w:val="28"/>
              </w:rPr>
            </w:pPr>
            <w:r>
              <w:rPr>
                <w:rFonts w:hint="eastAsia" w:ascii="Times New Roman" w:hAnsi="Times New Roman" w:eastAsia="方正仿宋_GBK"/>
                <w:sz w:val="28"/>
                <w:szCs w:val="28"/>
              </w:rPr>
              <w:t>7片/盒</w:t>
            </w:r>
          </w:p>
        </w:tc>
        <w:tc>
          <w:tcPr>
            <w:tcW w:w="1180" w:type="dxa"/>
            <w:noWrap w:val="0"/>
            <w:vAlign w:val="center"/>
          </w:tcPr>
          <w:p>
            <w:pPr>
              <w:spacing w:before="120" w:beforeLines="50" w:after="120" w:afterLines="50" w:line="400" w:lineRule="exact"/>
              <w:jc w:val="center"/>
              <w:rPr>
                <w:rFonts w:hint="eastAsia" w:ascii="Times New Roman" w:hAnsi="Times New Roman" w:eastAsia="方正仿宋_GBK"/>
                <w:sz w:val="28"/>
                <w:szCs w:val="28"/>
              </w:rPr>
            </w:pPr>
            <w:r>
              <w:rPr>
                <w:rFonts w:hint="eastAsia" w:ascii="Times New Roman" w:hAnsi="Times New Roman" w:eastAsia="方正仿宋_GBK"/>
                <w:sz w:val="28"/>
                <w:szCs w:val="28"/>
              </w:rPr>
              <w:t>5</w:t>
            </w:r>
            <w:r>
              <w:rPr>
                <w:rFonts w:ascii="Times New Roman" w:hAnsi="Times New Roman" w:eastAsia="方正仿宋_GBK"/>
                <w:sz w:val="28"/>
                <w:szCs w:val="28"/>
              </w:rPr>
              <w:t>0</w:t>
            </w:r>
            <w:r>
              <w:rPr>
                <w:rFonts w:hint="eastAsia" w:ascii="Times New Roman" w:hAnsi="Times New Roman" w:eastAsia="方正仿宋_GBK"/>
                <w:sz w:val="28"/>
                <w:szCs w:val="28"/>
              </w:rPr>
              <w:t>盒</w:t>
            </w:r>
          </w:p>
        </w:tc>
        <w:tc>
          <w:tcPr>
            <w:tcW w:w="1810" w:type="dxa"/>
            <w:noWrap w:val="0"/>
            <w:vAlign w:val="center"/>
          </w:tcPr>
          <w:p>
            <w:pPr>
              <w:spacing w:before="120" w:beforeLines="50" w:after="120" w:afterLines="50" w:line="400" w:lineRule="exact"/>
              <w:jc w:val="center"/>
              <w:rPr>
                <w:rFonts w:hint="eastAsia" w:ascii="Times New Roman" w:hAnsi="Times New Roman" w:eastAsia="方正仿宋_GBK"/>
                <w:sz w:val="28"/>
                <w:szCs w:val="28"/>
              </w:rPr>
            </w:pPr>
            <w:r>
              <w:rPr>
                <w:rFonts w:ascii="Times New Roman" w:hAnsi="Times New Roman" w:eastAsia="方正仿宋_GBK"/>
                <w:sz w:val="28"/>
                <w:szCs w:val="28"/>
              </w:rPr>
              <w:t>30049090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9" w:hRule="exact"/>
        </w:trPr>
        <w:tc>
          <w:tcPr>
            <w:tcW w:w="1077" w:type="dxa"/>
            <w:noWrap w:val="0"/>
            <w:vAlign w:val="center"/>
          </w:tcPr>
          <w:p>
            <w:pPr>
              <w:spacing w:after="120" w:afterLines="50" w:line="600" w:lineRule="exact"/>
              <w:jc w:val="center"/>
              <w:rPr>
                <w:rFonts w:ascii="Times New Roman" w:hAnsi="Times New Roman" w:eastAsia="仿宋_GB2312"/>
                <w:sz w:val="28"/>
                <w:szCs w:val="28"/>
              </w:rPr>
            </w:pPr>
            <w:r>
              <w:rPr>
                <w:rFonts w:hint="eastAsia" w:ascii="Times New Roman" w:hAnsi="Times New Roman" w:eastAsia="方正仿宋_GBK"/>
                <w:sz w:val="28"/>
                <w:szCs w:val="28"/>
              </w:rPr>
              <w:t>4</w:t>
            </w:r>
          </w:p>
        </w:tc>
        <w:tc>
          <w:tcPr>
            <w:tcW w:w="1657" w:type="dxa"/>
            <w:noWrap w:val="0"/>
            <w:vAlign w:val="center"/>
          </w:tcPr>
          <w:p>
            <w:pPr>
              <w:spacing w:line="400" w:lineRule="exact"/>
              <w:jc w:val="left"/>
              <w:rPr>
                <w:rFonts w:ascii="Times New Roman" w:hAnsi="Times New Roman" w:eastAsia="方正仿宋_GBK"/>
                <w:sz w:val="28"/>
                <w:szCs w:val="28"/>
              </w:rPr>
            </w:pPr>
            <w:r>
              <w:rPr>
                <w:rFonts w:ascii="Times New Roman" w:hAnsi="Times New Roman" w:eastAsia="方正仿宋_GBK"/>
                <w:sz w:val="28"/>
                <w:szCs w:val="28"/>
              </w:rPr>
              <w:t>江苏长泰药业股份有限公司</w:t>
            </w:r>
          </w:p>
        </w:tc>
        <w:tc>
          <w:tcPr>
            <w:tcW w:w="2093" w:type="dxa"/>
            <w:noWrap w:val="0"/>
            <w:vAlign w:val="center"/>
          </w:tcPr>
          <w:p>
            <w:pPr>
              <w:spacing w:line="400" w:lineRule="exact"/>
              <w:jc w:val="center"/>
              <w:rPr>
                <w:rFonts w:ascii="Times New Roman" w:hAnsi="Times New Roman" w:eastAsia="方正仿宋_GBK"/>
                <w:sz w:val="28"/>
                <w:szCs w:val="28"/>
              </w:rPr>
            </w:pPr>
            <w:r>
              <w:rPr>
                <w:rFonts w:ascii="Times New Roman" w:hAnsi="Times New Roman" w:eastAsia="方正仿宋_GBK"/>
                <w:sz w:val="28"/>
                <w:szCs w:val="28"/>
              </w:rPr>
              <w:t>纳曲酮</w:t>
            </w:r>
          </w:p>
          <w:p>
            <w:pPr>
              <w:spacing w:line="40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w:t>
            </w:r>
            <w:r>
              <w:rPr>
                <w:rFonts w:ascii="Times New Roman" w:hAnsi="Times New Roman" w:eastAsia="方正仿宋_GBK"/>
                <w:sz w:val="28"/>
                <w:szCs w:val="28"/>
              </w:rPr>
              <w:t>药用级</w:t>
            </w:r>
            <w:r>
              <w:rPr>
                <w:rFonts w:hint="eastAsia" w:ascii="Times New Roman" w:hAnsi="Times New Roman" w:eastAsia="方正仿宋_GBK"/>
                <w:sz w:val="28"/>
                <w:szCs w:val="28"/>
              </w:rPr>
              <w:t>）</w:t>
            </w:r>
          </w:p>
        </w:tc>
        <w:tc>
          <w:tcPr>
            <w:tcW w:w="1541" w:type="dxa"/>
            <w:noWrap w:val="0"/>
            <w:vAlign w:val="center"/>
          </w:tcPr>
          <w:p>
            <w:pPr>
              <w:spacing w:line="400" w:lineRule="exact"/>
              <w:jc w:val="center"/>
              <w:rPr>
                <w:rFonts w:hint="eastAsia" w:ascii="Times New Roman" w:hAnsi="Times New Roman" w:eastAsia="方正仿宋_GBK"/>
                <w:sz w:val="28"/>
                <w:szCs w:val="28"/>
              </w:rPr>
            </w:pPr>
            <w:r>
              <w:rPr>
                <w:rFonts w:ascii="Times New Roman" w:hAnsi="Times New Roman" w:eastAsia="方正仿宋_GBK"/>
                <w:sz w:val="28"/>
                <w:szCs w:val="28"/>
              </w:rPr>
              <w:t>0.5</w:t>
            </w:r>
            <w:r>
              <w:rPr>
                <w:rFonts w:hint="eastAsia" w:ascii="Times New Roman" w:hAnsi="Times New Roman" w:eastAsia="方正仿宋_GBK"/>
                <w:sz w:val="28"/>
                <w:szCs w:val="28"/>
              </w:rPr>
              <w:t>—</w:t>
            </w:r>
            <w:r>
              <w:rPr>
                <w:rFonts w:ascii="Times New Roman" w:hAnsi="Times New Roman" w:eastAsia="方正仿宋_GBK"/>
                <w:sz w:val="28"/>
                <w:szCs w:val="28"/>
              </w:rPr>
              <w:t>25</w:t>
            </w:r>
          </w:p>
          <w:p>
            <w:pPr>
              <w:spacing w:line="400" w:lineRule="exact"/>
              <w:jc w:val="center"/>
              <w:rPr>
                <w:rFonts w:ascii="Times New Roman" w:hAnsi="Times New Roman" w:eastAsia="方正仿宋_GBK"/>
                <w:sz w:val="28"/>
                <w:szCs w:val="28"/>
              </w:rPr>
            </w:pPr>
            <w:r>
              <w:rPr>
                <w:rFonts w:ascii="Times New Roman" w:hAnsi="Times New Roman" w:eastAsia="方正仿宋_GBK"/>
                <w:sz w:val="28"/>
                <w:szCs w:val="28"/>
              </w:rPr>
              <w:t>kg/</w:t>
            </w:r>
            <w:r>
              <w:rPr>
                <w:rFonts w:hint="eastAsia" w:ascii="Times New Roman" w:hAnsi="Times New Roman" w:eastAsia="方正仿宋_GBK"/>
                <w:sz w:val="28"/>
                <w:szCs w:val="28"/>
              </w:rPr>
              <w:t>桶</w:t>
            </w:r>
          </w:p>
        </w:tc>
        <w:tc>
          <w:tcPr>
            <w:tcW w:w="1180" w:type="dxa"/>
            <w:noWrap w:val="0"/>
            <w:vAlign w:val="center"/>
          </w:tcPr>
          <w:p>
            <w:pPr>
              <w:spacing w:line="400" w:lineRule="exact"/>
              <w:jc w:val="center"/>
              <w:rPr>
                <w:rFonts w:ascii="Times New Roman" w:hAnsi="Times New Roman" w:eastAsia="方正仿宋_GBK"/>
                <w:sz w:val="28"/>
                <w:szCs w:val="28"/>
              </w:rPr>
            </w:pPr>
            <w:r>
              <w:rPr>
                <w:rFonts w:ascii="Times New Roman" w:hAnsi="Times New Roman" w:eastAsia="方正仿宋_GBK"/>
                <w:sz w:val="28"/>
                <w:szCs w:val="28"/>
              </w:rPr>
              <w:t>9kg</w:t>
            </w:r>
          </w:p>
        </w:tc>
        <w:tc>
          <w:tcPr>
            <w:tcW w:w="1810" w:type="dxa"/>
            <w:noWrap w:val="0"/>
            <w:vAlign w:val="center"/>
          </w:tcPr>
          <w:p>
            <w:pPr>
              <w:spacing w:line="400" w:lineRule="exact"/>
              <w:jc w:val="center"/>
              <w:rPr>
                <w:rFonts w:ascii="Times New Roman" w:hAnsi="Times New Roman" w:eastAsia="方正仿宋_GBK"/>
                <w:sz w:val="28"/>
                <w:szCs w:val="28"/>
              </w:rPr>
            </w:pPr>
            <w:r>
              <w:rPr>
                <w:rFonts w:ascii="Times New Roman" w:hAnsi="Times New Roman" w:eastAsia="方正仿宋_GBK"/>
                <w:sz w:val="28"/>
                <w:szCs w:val="28"/>
              </w:rPr>
              <w:t>29391900</w:t>
            </w:r>
          </w:p>
        </w:tc>
      </w:tr>
    </w:tbl>
    <w:p>
      <w:pPr>
        <w:keepNext w:val="0"/>
        <w:keepLines w:val="0"/>
        <w:pageBreakBefore w:val="0"/>
        <w:widowControl w:val="0"/>
        <w:kinsoku/>
        <w:wordWrap w:val="0"/>
        <w:overflowPunct/>
        <w:topLinePunct w:val="0"/>
        <w:autoSpaceDE/>
        <w:autoSpaceDN/>
        <w:bidi w:val="0"/>
        <w:adjustRightInd/>
        <w:snapToGrid/>
        <w:spacing w:line="580" w:lineRule="exact"/>
        <w:ind w:left="1204" w:right="-218" w:rightChars="-104" w:hanging="1204" w:hangingChars="430"/>
        <w:jc w:val="both"/>
        <w:textAlignment w:val="auto"/>
        <w:rPr>
          <w:rFonts w:hint="eastAsia" w:ascii="Times New Roman" w:hAnsi="Times New Roman" w:eastAsia="方正仿宋_GBK" w:cs="Times New Roman"/>
          <w:color w:val="auto"/>
          <w:sz w:val="28"/>
          <w:szCs w:val="28"/>
          <w:lang w:val="en-US" w:eastAsia="zh-CN"/>
        </w:rPr>
      </w:pPr>
      <w:r>
        <w:rPr>
          <w:rFonts w:hint="eastAsia" w:ascii="Times New Roman" w:hAnsi="Times New Roman" w:eastAsia="方正仿宋_GBK" w:cs="Times New Roman"/>
          <w:color w:val="auto"/>
          <w:sz w:val="28"/>
          <w:szCs w:val="28"/>
          <w:lang w:val="en-US" w:eastAsia="zh-CN"/>
        </w:rPr>
        <w:t>说明：1. 生物医药研发用物品进口“白名单”商品范围以商品名称及描述为准，海关HS编码仅供通关申报参考。</w:t>
      </w:r>
    </w:p>
    <w:p>
      <w:pPr>
        <w:keepNext w:val="0"/>
        <w:keepLines w:val="0"/>
        <w:pageBreakBefore w:val="0"/>
        <w:widowControl w:val="0"/>
        <w:kinsoku/>
        <w:wordWrap w:val="0"/>
        <w:overflowPunct/>
        <w:topLinePunct w:val="0"/>
        <w:autoSpaceDE/>
        <w:autoSpaceDN/>
        <w:bidi w:val="0"/>
        <w:adjustRightInd/>
        <w:snapToGrid/>
        <w:spacing w:line="580" w:lineRule="exact"/>
        <w:ind w:left="1120" w:right="-218" w:rightChars="-104" w:hanging="1120" w:hangingChars="400"/>
        <w:jc w:val="both"/>
        <w:textAlignment w:val="auto"/>
        <w:rPr>
          <w:rFonts w:hint="default" w:ascii="Times New Roman" w:hAnsi="Times New Roman" w:eastAsia="方正仿宋_GBK" w:cs="Times New Roman"/>
          <w:color w:val="auto"/>
          <w:sz w:val="28"/>
          <w:szCs w:val="28"/>
          <w:lang w:val="en-US" w:eastAsia="zh-CN"/>
        </w:rPr>
      </w:pPr>
      <w:r>
        <w:rPr>
          <w:rFonts w:hint="eastAsia" w:ascii="Times New Roman" w:hAnsi="Times New Roman" w:eastAsia="方正仿宋_GBK" w:cs="Times New Roman"/>
          <w:color w:val="auto"/>
          <w:sz w:val="28"/>
          <w:szCs w:val="28"/>
          <w:lang w:val="en-US" w:eastAsia="zh-CN"/>
        </w:rPr>
        <w:t xml:space="preserve">      2. 本名单自发布之日起有效期1年。</w:t>
      </w:r>
    </w:p>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仿宋_GBK"/>
          <w:sz w:val="32"/>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PMingLiU">
    <w:altName w:val="Droid Sans Fallback"/>
    <w:panose1 w:val="02010601000101010101"/>
    <w:charset w:val="00"/>
    <w:family w:val="auto"/>
    <w:pitch w:val="default"/>
    <w:sig w:usb0="00000000" w:usb1="00000000" w:usb2="00000010" w:usb3="00000000" w:csb0="00100000" w:csb1="00000000"/>
  </w:font>
  <w:font w:name="Droid Sans Fallback">
    <w:panose1 w:val="020B0502000000000001"/>
    <w:charset w:val="86"/>
    <w:family w:val="auto"/>
    <w:pitch w:val="default"/>
    <w:sig w:usb0="910002FF" w:usb1="2BDFFCFB" w:usb2="00000036" w:usb3="00000000" w:csb0="203F01FF" w:csb1="D7FF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F2F4BC8"/>
    <w:rsid w:val="1FDCE88D"/>
    <w:rsid w:val="4F2F4BC8"/>
    <w:rsid w:val="FB6F17C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4">
    <w:name w:val="Default Paragraph Font"/>
    <w:semiHidden/>
    <w:uiPriority w:val="0"/>
  </w:style>
  <w:style w:type="table" w:default="1" w:styleId="3">
    <w:name w:val="Normal Table"/>
    <w:semiHidden/>
    <w:uiPriority w:val="0"/>
    <w:tblPr>
      <w:tblStyle w:val="3"/>
      <w:tblCellMar>
        <w:top w:w="0" w:type="dxa"/>
        <w:left w:w="108" w:type="dxa"/>
        <w:bottom w:w="0" w:type="dxa"/>
        <w:right w:w="108" w:type="dxa"/>
      </w:tblCellMar>
    </w:tblPr>
  </w:style>
  <w:style w:type="paragraph" w:styleId="2">
    <w:name w:val="Normal (Web)"/>
    <w:basedOn w:val="1"/>
    <w:unhideWhenUsed/>
    <w:qFormat/>
    <w:uiPriority w:val="99"/>
    <w:pPr>
      <w:widowControl/>
      <w:spacing w:after="25"/>
      <w:jc w:val="left"/>
    </w:pPr>
    <w:rPr>
      <w:rFonts w:ascii="PMingLiU" w:hAnsi="PMingLiU" w:eastAsia="PMingLiU" w:cs="宋体"/>
      <w:kern w:val="0"/>
      <w:sz w:val="24"/>
      <w:szCs w:val="24"/>
    </w:rPr>
  </w:style>
  <w:style w:type="paragraph" w:customStyle="1" w:styleId="5">
    <w:name w:val="政府正文"/>
    <w:basedOn w:val="1"/>
    <w:qFormat/>
    <w:uiPriority w:val="0"/>
    <w:pPr>
      <w:spacing w:line="560" w:lineRule="exact"/>
      <w:ind w:firstLine="652"/>
    </w:pPr>
    <w:rPr>
      <w:rFonts w:eastAsia="方正仿宋_GBK"/>
      <w:sz w:val="32"/>
      <w:szCs w:val="3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Office_11.8.2.11653_F1E327BC-269C-435d-A152-05C5408002CA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2025-01-11T01:23:00Z</dcterms:created>
  <dc:creator>wuyue</dc:creator>
  <cp:lastModifiedBy>wuyue</cp:lastModifiedBy>
  <dcterms:modified xsi:type="dcterms:W3CDTF">2025-01-10T17:26:32Z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2052-11.8.2.11653</vt:lpwstr>
  </property>
  <property fmtid="{D5CDD505-2E9C-101B-9397-08002B2CF9AE}" pid="3" name="ICV">
    <vt:lpwstr>538E92CDD152D396C8E780674EF3F21B</vt:lpwstr>
  </property>
</Properties>
</file>