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930"/>
      </w:tblGrid>
      <w:tr w:rsidR="001024BB">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30"/>
            </w:tblGrid>
            <w:tr w:rsidR="001024BB">
              <w:trPr>
                <w:trHeight w:val="555"/>
                <w:tblCellSpacing w:w="0" w:type="dxa"/>
              </w:trPr>
              <w:tc>
                <w:tcPr>
                  <w:tcW w:w="0" w:type="auto"/>
                  <w:vAlign w:val="center"/>
                  <w:hideMark/>
                </w:tcPr>
                <w:p w:rsidR="001024BB" w:rsidRDefault="001024BB">
                  <w:pPr>
                    <w:spacing w:before="300" w:after="225" w:line="432" w:lineRule="auto"/>
                    <w:jc w:val="center"/>
                    <w:rPr>
                      <w:rFonts w:ascii="ˎ̥" w:eastAsia="宋体" w:hAnsi="ˎ̥" w:cs="宋体"/>
                      <w:b/>
                      <w:bCs/>
                      <w:color w:val="185895"/>
                      <w:sz w:val="36"/>
                      <w:szCs w:val="36"/>
                    </w:rPr>
                  </w:pPr>
                  <w:r>
                    <w:rPr>
                      <w:rFonts w:ascii="ˎ̥" w:hAnsi="ˎ̥"/>
                      <w:b/>
                      <w:bCs/>
                      <w:color w:val="185895"/>
                      <w:sz w:val="36"/>
                      <w:szCs w:val="36"/>
                    </w:rPr>
                    <w:t>关于支持科技创新进口税收政策管理办法的通知</w:t>
                  </w:r>
                  <w:r>
                    <w:rPr>
                      <w:rFonts w:ascii="ˎ̥" w:hAnsi="ˎ̥"/>
                      <w:b/>
                      <w:bCs/>
                      <w:color w:val="185895"/>
                      <w:sz w:val="36"/>
                      <w:szCs w:val="36"/>
                    </w:rPr>
                    <w:t xml:space="preserve"> </w:t>
                  </w:r>
                </w:p>
              </w:tc>
            </w:tr>
          </w:tbl>
          <w:p w:rsidR="001024BB" w:rsidRDefault="001024BB">
            <w:pPr>
              <w:spacing w:line="432" w:lineRule="auto"/>
              <w:rPr>
                <w:rFonts w:ascii="ˎ̥" w:hAnsi="ˎ̥" w:hint="eastAsi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8930"/>
            </w:tblGrid>
            <w:tr w:rsidR="001024BB">
              <w:trPr>
                <w:trHeight w:val="15"/>
                <w:tblCellSpacing w:w="0" w:type="dxa"/>
              </w:trPr>
              <w:tc>
                <w:tcPr>
                  <w:tcW w:w="0" w:type="auto"/>
                  <w:vAlign w:val="center"/>
                  <w:hideMark/>
                </w:tcPr>
                <w:p w:rsidR="001024BB" w:rsidRDefault="001024BB">
                  <w:pPr>
                    <w:spacing w:line="15" w:lineRule="atLeast"/>
                    <w:rPr>
                      <w:rFonts w:ascii="ˎ̥" w:eastAsia="宋体" w:hAnsi="ˎ̥" w:cs="宋体"/>
                      <w:sz w:val="18"/>
                      <w:szCs w:val="18"/>
                    </w:rPr>
                  </w:pPr>
                  <w:r>
                    <w:rPr>
                      <w:rFonts w:ascii="ˎ̥" w:hAnsi="ˎ̥"/>
                      <w:sz w:val="18"/>
                      <w:szCs w:val="18"/>
                    </w:rPr>
                    <w:pict>
                      <v:rect id="_x0000_i1025" style="width:525pt;height:.75pt" o:hrpct="0" o:hralign="center" o:hrstd="t" o:hrnoshade="t" o:hr="t" fillcolor="#99c2e2" stroked="f"/>
                    </w:pict>
                  </w:r>
                </w:p>
              </w:tc>
            </w:tr>
          </w:tbl>
          <w:p w:rsidR="001024BB" w:rsidRDefault="001024BB">
            <w:pPr>
              <w:spacing w:line="432" w:lineRule="auto"/>
              <w:rPr>
                <w:rFonts w:ascii="ˎ̥" w:hAnsi="ˎ̥" w:hint="eastAsia"/>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8930"/>
            </w:tblGrid>
            <w:tr w:rsidR="001024BB">
              <w:trPr>
                <w:tblCellSpacing w:w="0" w:type="dxa"/>
              </w:trPr>
              <w:tc>
                <w:tcPr>
                  <w:tcW w:w="0" w:type="auto"/>
                  <w:vAlign w:val="center"/>
                  <w:hideMark/>
                </w:tcPr>
                <w:p w:rsidR="001024BB" w:rsidRDefault="001024BB">
                  <w:pPr>
                    <w:spacing w:line="432" w:lineRule="auto"/>
                    <w:rPr>
                      <w:rFonts w:ascii="ˎ̥" w:eastAsia="宋体" w:hAnsi="ˎ̥" w:cs="宋体"/>
                      <w:sz w:val="24"/>
                      <w:szCs w:val="24"/>
                    </w:rPr>
                  </w:pPr>
                </w:p>
              </w:tc>
            </w:tr>
          </w:tbl>
          <w:p w:rsidR="001024BB" w:rsidRDefault="001024BB">
            <w:pPr>
              <w:spacing w:line="432" w:lineRule="auto"/>
              <w:rPr>
                <w:rFonts w:ascii="ˎ̥" w:eastAsia="宋体" w:hAnsi="ˎ̥" w:cs="宋体"/>
                <w:sz w:val="18"/>
                <w:szCs w:val="18"/>
              </w:rPr>
            </w:pPr>
          </w:p>
        </w:tc>
      </w:tr>
      <w:tr w:rsidR="001024BB">
        <w:trPr>
          <w:tblCellSpacing w:w="0" w:type="dxa"/>
          <w:jc w:val="center"/>
        </w:trPr>
        <w:tc>
          <w:tcPr>
            <w:tcW w:w="0" w:type="auto"/>
            <w:vAlign w:val="center"/>
            <w:hideMark/>
          </w:tcPr>
          <w:p w:rsidR="001024BB" w:rsidRDefault="001024BB">
            <w:pPr>
              <w:spacing w:line="432" w:lineRule="auto"/>
              <w:rPr>
                <w:rFonts w:ascii="ˎ̥" w:eastAsia="宋体" w:hAnsi="ˎ̥" w:cs="宋体"/>
                <w:sz w:val="18"/>
                <w:szCs w:val="18"/>
              </w:rPr>
            </w:pPr>
          </w:p>
        </w:tc>
      </w:tr>
    </w:tbl>
    <w:p w:rsidR="001D4795" w:rsidRPr="001D4795" w:rsidRDefault="001D4795" w:rsidP="001D4795">
      <w:pPr>
        <w:spacing w:before="100" w:beforeAutospacing="1" w:after="240"/>
        <w:jc w:val="center"/>
        <w:rPr>
          <w:rFonts w:ascii="宋体" w:hAnsi="宋体"/>
          <w:sz w:val="28"/>
          <w:szCs w:val="28"/>
        </w:rPr>
      </w:pPr>
      <w:r w:rsidRPr="001D4795">
        <w:rPr>
          <w:rFonts w:hint="eastAsia"/>
          <w:sz w:val="28"/>
          <w:szCs w:val="28"/>
        </w:rPr>
        <w:t>财关税</w:t>
      </w:r>
      <w:r w:rsidR="00C409DA">
        <w:rPr>
          <w:rFonts w:ascii="宋体" w:eastAsia="宋体" w:hAnsi="宋体" w:hint="eastAsia"/>
          <w:sz w:val="28"/>
          <w:szCs w:val="28"/>
        </w:rPr>
        <w:t>﹝</w:t>
      </w:r>
      <w:r w:rsidR="00C409DA">
        <w:rPr>
          <w:rFonts w:hint="eastAsia"/>
          <w:sz w:val="28"/>
          <w:szCs w:val="28"/>
        </w:rPr>
        <w:t>2016</w:t>
      </w:r>
      <w:r w:rsidR="00C409DA">
        <w:rPr>
          <w:rFonts w:ascii="宋体" w:eastAsia="宋体" w:hAnsi="宋体" w:hint="eastAsia"/>
          <w:sz w:val="28"/>
          <w:szCs w:val="28"/>
        </w:rPr>
        <w:t>﹞</w:t>
      </w:r>
      <w:r w:rsidRPr="001D4795">
        <w:rPr>
          <w:rFonts w:hint="eastAsia"/>
          <w:sz w:val="28"/>
          <w:szCs w:val="28"/>
        </w:rPr>
        <w:t>71</w:t>
      </w:r>
      <w:r w:rsidRPr="001D4795">
        <w:rPr>
          <w:rFonts w:hint="eastAsia"/>
          <w:sz w:val="28"/>
          <w:szCs w:val="28"/>
        </w:rPr>
        <w:t>号</w:t>
      </w:r>
    </w:p>
    <w:p w:rsidR="001D4795" w:rsidRPr="001D4795" w:rsidRDefault="001D4795" w:rsidP="001D4795">
      <w:pPr>
        <w:spacing w:before="100" w:beforeAutospacing="1" w:after="240"/>
        <w:jc w:val="left"/>
        <w:rPr>
          <w:rFonts w:hint="eastAsia"/>
          <w:sz w:val="28"/>
          <w:szCs w:val="28"/>
        </w:rPr>
      </w:pPr>
      <w:r w:rsidRPr="001D4795">
        <w:rPr>
          <w:rFonts w:hint="eastAsia"/>
          <w:sz w:val="28"/>
          <w:szCs w:val="28"/>
        </w:rPr>
        <w:t>各省、自治区、直辖市、计划单列市财政厅（局）、</w:t>
      </w:r>
      <w:bookmarkStart w:id="0" w:name="_GoBack"/>
      <w:bookmarkEnd w:id="0"/>
      <w:r w:rsidRPr="001D4795">
        <w:rPr>
          <w:rFonts w:hint="eastAsia"/>
          <w:sz w:val="28"/>
          <w:szCs w:val="28"/>
        </w:rPr>
        <w:t>教育厅（局）、发展改革委、科技厅（委、局）、工业和信息化主管部门、民政厅（局）、商务厅（局）、国家税务局，海关总署广东分署、各直属海关，新疆生产建设兵团财务局、科技局、民政局、商务局：</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为深入贯彻落实党中央、国务院关于创新驱动发展战略有关精神，发挥科技创新在全面创新中的引领作用，经国务院批准，财政部、海关总署、国家税务总局联合印发了《关于“十三五”期间支持科技创新进口税收政策的通知》（财关税〔</w:t>
      </w:r>
      <w:r w:rsidRPr="001D4795">
        <w:rPr>
          <w:rFonts w:hint="eastAsia"/>
          <w:sz w:val="28"/>
          <w:szCs w:val="28"/>
        </w:rPr>
        <w:t>2016</w:t>
      </w:r>
      <w:r w:rsidRPr="001D4795">
        <w:rPr>
          <w:rFonts w:hint="eastAsia"/>
          <w:sz w:val="28"/>
          <w:szCs w:val="28"/>
        </w:rPr>
        <w:t>〕</w:t>
      </w:r>
      <w:r w:rsidRPr="001D4795">
        <w:rPr>
          <w:rFonts w:hint="eastAsia"/>
          <w:sz w:val="28"/>
          <w:szCs w:val="28"/>
        </w:rPr>
        <w:t>70</w:t>
      </w:r>
      <w:r w:rsidRPr="001D4795">
        <w:rPr>
          <w:rFonts w:hint="eastAsia"/>
          <w:sz w:val="28"/>
          <w:szCs w:val="28"/>
        </w:rPr>
        <w:t>号）。为加强政策管理，现将支持科技创新进口税收政策管理办法通知如下：</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一、国务院部委、直属机构所属从事科学研究工作的各类科研院所，由科技部核定名单，函告海关总署，并抄送本通知第八条出版物进口单位。此类</w:t>
      </w:r>
      <w:proofErr w:type="gramStart"/>
      <w:r w:rsidRPr="001D4795">
        <w:rPr>
          <w:rFonts w:hint="eastAsia"/>
          <w:sz w:val="28"/>
          <w:szCs w:val="28"/>
        </w:rPr>
        <w:t>科研院所持凭主管</w:t>
      </w:r>
      <w:proofErr w:type="gramEnd"/>
      <w:r w:rsidRPr="001D4795">
        <w:rPr>
          <w:rFonts w:hint="eastAsia"/>
          <w:sz w:val="28"/>
          <w:szCs w:val="28"/>
        </w:rPr>
        <w:t>部门批准成立的文件、《事业单位法人证书》，按海关规定办理有关减免税手续。</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各省、自治区、直辖市、计划单列市所属从事科学研究工作的各类科研院所，由本级科技主管部门核定名单，函告相关科研院所所在地直属海关，并抄送本通知第八条出版物进口单位。此类</w:t>
      </w:r>
      <w:proofErr w:type="gramStart"/>
      <w:r w:rsidRPr="001D4795">
        <w:rPr>
          <w:rFonts w:hint="eastAsia"/>
          <w:sz w:val="28"/>
          <w:szCs w:val="28"/>
        </w:rPr>
        <w:t>科研院所持凭主管</w:t>
      </w:r>
      <w:proofErr w:type="gramEnd"/>
      <w:r w:rsidRPr="001D4795">
        <w:rPr>
          <w:rFonts w:hint="eastAsia"/>
          <w:sz w:val="28"/>
          <w:szCs w:val="28"/>
        </w:rPr>
        <w:t>部门批</w:t>
      </w:r>
      <w:r w:rsidRPr="001D4795">
        <w:rPr>
          <w:rFonts w:hint="eastAsia"/>
          <w:sz w:val="28"/>
          <w:szCs w:val="28"/>
        </w:rPr>
        <w:lastRenderedPageBreak/>
        <w:t>准成立的文件、《事业单位法人证书》，按海关规定办理有关减免税手续。</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二、国家承认学历的实施专科及以上高等学历教育的高等学校，由教育部核定并在教育部门户网站公布，按海关规定办理有关减免税手续。</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三、国家发展改革委会同财政部、海关总署和国家税务总局核定的国家工程研究中心的免税进口资格，按国家发展和改革委员会会同有关部门另行制定的国家工程研究中心管理办法确定。</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国家发展改革委会同财政部、海关总署、国家税务总局和科技部核定的企业技术中心，按《国家企业技术中心认定管理办法》（国家发展改革委</w:t>
      </w:r>
      <w:r w:rsidRPr="001D4795">
        <w:rPr>
          <w:rFonts w:hint="eastAsia"/>
          <w:sz w:val="28"/>
          <w:szCs w:val="28"/>
        </w:rPr>
        <w:t xml:space="preserve"> </w:t>
      </w:r>
      <w:r w:rsidRPr="001D4795">
        <w:rPr>
          <w:rFonts w:hint="eastAsia"/>
          <w:sz w:val="28"/>
          <w:szCs w:val="28"/>
        </w:rPr>
        <w:t>科技部</w:t>
      </w:r>
      <w:r w:rsidRPr="001D4795">
        <w:rPr>
          <w:rFonts w:hint="eastAsia"/>
          <w:sz w:val="28"/>
          <w:szCs w:val="28"/>
        </w:rPr>
        <w:t xml:space="preserve"> </w:t>
      </w:r>
      <w:r w:rsidRPr="001D4795">
        <w:rPr>
          <w:rFonts w:hint="eastAsia"/>
          <w:sz w:val="28"/>
          <w:szCs w:val="28"/>
        </w:rPr>
        <w:t>财政部</w:t>
      </w:r>
      <w:r w:rsidRPr="001D4795">
        <w:rPr>
          <w:rFonts w:hint="eastAsia"/>
          <w:sz w:val="28"/>
          <w:szCs w:val="28"/>
        </w:rPr>
        <w:t xml:space="preserve"> </w:t>
      </w:r>
      <w:r w:rsidRPr="001D4795">
        <w:rPr>
          <w:rFonts w:hint="eastAsia"/>
          <w:sz w:val="28"/>
          <w:szCs w:val="28"/>
        </w:rPr>
        <w:t>海关总署</w:t>
      </w:r>
      <w:r w:rsidRPr="001D4795">
        <w:rPr>
          <w:rFonts w:hint="eastAsia"/>
          <w:sz w:val="28"/>
          <w:szCs w:val="28"/>
        </w:rPr>
        <w:t xml:space="preserve"> </w:t>
      </w:r>
      <w:r w:rsidRPr="001D4795">
        <w:rPr>
          <w:rFonts w:hint="eastAsia"/>
          <w:sz w:val="28"/>
          <w:szCs w:val="28"/>
        </w:rPr>
        <w:t>国家税务总局令第</w:t>
      </w:r>
      <w:r w:rsidRPr="001D4795">
        <w:rPr>
          <w:rFonts w:hint="eastAsia"/>
          <w:sz w:val="28"/>
          <w:szCs w:val="28"/>
        </w:rPr>
        <w:t>34</w:t>
      </w:r>
      <w:r w:rsidRPr="001D4795">
        <w:rPr>
          <w:rFonts w:hint="eastAsia"/>
          <w:sz w:val="28"/>
          <w:szCs w:val="28"/>
        </w:rPr>
        <w:t>号）确定免税资格，按海关规定办理有关减免税手续。</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四、科技部会同财政部、海关总署和国家税务总局核定的科技体制改革过程中转制为企业和进入企业的主要从事科学研究和技术开发工作的机构、国家重点实验室、企业国家重点实验室、国家工程技术研究中心的免税进口管理办法由科技部会同有关部门另行制定。</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五、科技部会同民政部核定或者各省、自治区、直辖市、计划单列市及新疆生产建设兵团科技主管部门会同同级民政部门核定的科技类民办非企业单位的免税进口管理办法见附件</w:t>
      </w:r>
      <w:r w:rsidRPr="001D4795">
        <w:rPr>
          <w:rFonts w:hint="eastAsia"/>
          <w:sz w:val="28"/>
          <w:szCs w:val="28"/>
        </w:rPr>
        <w:t>1</w:t>
      </w:r>
      <w:r w:rsidRPr="001D4795">
        <w:rPr>
          <w:rFonts w:hint="eastAsia"/>
          <w:sz w:val="28"/>
          <w:szCs w:val="28"/>
        </w:rPr>
        <w:t>。</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六、工业和信息化部会同财政部、海关总署、国家税务总局核定的国家中小企业公共服务示范平台（技术类）的免税进口管理办法见附件</w:t>
      </w:r>
      <w:r w:rsidRPr="001D4795">
        <w:rPr>
          <w:rFonts w:hint="eastAsia"/>
          <w:sz w:val="28"/>
          <w:szCs w:val="28"/>
        </w:rPr>
        <w:t>2</w:t>
      </w:r>
      <w:r w:rsidRPr="001D4795">
        <w:rPr>
          <w:rFonts w:hint="eastAsia"/>
          <w:sz w:val="28"/>
          <w:szCs w:val="28"/>
        </w:rPr>
        <w:t>。</w:t>
      </w:r>
    </w:p>
    <w:p w:rsidR="001D4795" w:rsidRPr="001D4795" w:rsidRDefault="001D4795" w:rsidP="001D4795">
      <w:pPr>
        <w:spacing w:before="100" w:beforeAutospacing="1" w:after="240"/>
        <w:rPr>
          <w:rFonts w:hint="eastAsia"/>
          <w:sz w:val="28"/>
          <w:szCs w:val="28"/>
        </w:rPr>
      </w:pPr>
      <w:r w:rsidRPr="001D4795">
        <w:rPr>
          <w:rFonts w:hint="eastAsia"/>
          <w:sz w:val="28"/>
          <w:szCs w:val="28"/>
        </w:rPr>
        <w:lastRenderedPageBreak/>
        <w:t xml:space="preserve">　　七、各省、自治区、直辖市、计划单列市及新疆生产建设兵团商务主管部门会同同级财政、国税部门和外资研发中心所在地直属海关核定的外资研发中心的免税进口管理办法见附件</w:t>
      </w:r>
      <w:r w:rsidRPr="001D4795">
        <w:rPr>
          <w:rFonts w:hint="eastAsia"/>
          <w:sz w:val="28"/>
          <w:szCs w:val="28"/>
        </w:rPr>
        <w:t>3</w:t>
      </w:r>
      <w:r w:rsidRPr="001D4795">
        <w:rPr>
          <w:rFonts w:hint="eastAsia"/>
          <w:sz w:val="28"/>
          <w:szCs w:val="28"/>
        </w:rPr>
        <w:t>。</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八、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按海关规定办理有关减免税手续。免税进口商品销售对象中的科研院所是指本通知第一条中经核定的科研院所；学校是指本通知第二条中经核定的高等学校。</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出版物进口单位应在每年</w:t>
      </w:r>
      <w:r w:rsidRPr="001D4795">
        <w:rPr>
          <w:rFonts w:hint="eastAsia"/>
          <w:sz w:val="28"/>
          <w:szCs w:val="28"/>
        </w:rPr>
        <w:t>3</w:t>
      </w:r>
      <w:r w:rsidRPr="001D4795">
        <w:rPr>
          <w:rFonts w:hint="eastAsia"/>
          <w:sz w:val="28"/>
          <w:szCs w:val="28"/>
        </w:rPr>
        <w:t>月</w:t>
      </w:r>
      <w:r w:rsidRPr="001D4795">
        <w:rPr>
          <w:rFonts w:hint="eastAsia"/>
          <w:sz w:val="28"/>
          <w:szCs w:val="28"/>
        </w:rPr>
        <w:t>31</w:t>
      </w:r>
      <w:r w:rsidRPr="001D4795">
        <w:rPr>
          <w:rFonts w:hint="eastAsia"/>
          <w:sz w:val="28"/>
          <w:szCs w:val="28"/>
        </w:rPr>
        <w:t>日前将上一年度免税进口图书、资料等情况报财政部、海关总署、国家税务总局、国家新闻出版广电总局备案。备案信息应包括商品种类、进口额、免税进口商品的销售流向、使用单位等。</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对出版物进口单位为科研院所、学校进口用于科研、教学的图书、资料等的免税范围，按进口科学研究、科技开发和教学用品免税清单中的“五、图书、文献、报刊及其他资料（包括只读光盘、微缩平片、胶卷、地球资料卫星照片、科技和教学声像制品）”执行。</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九、财政部会同有关部门核定的其他科学研究机构、技术开发机构、学校，比照上述有关条款进行免税进口管理。</w:t>
      </w:r>
    </w:p>
    <w:p w:rsidR="001D4795" w:rsidRPr="001D4795" w:rsidRDefault="001D4795" w:rsidP="001D4795">
      <w:pPr>
        <w:spacing w:before="100" w:beforeAutospacing="1" w:after="240"/>
        <w:rPr>
          <w:rFonts w:hint="eastAsia"/>
          <w:sz w:val="28"/>
          <w:szCs w:val="28"/>
        </w:rPr>
      </w:pPr>
      <w:r w:rsidRPr="001D4795">
        <w:rPr>
          <w:rFonts w:hint="eastAsia"/>
          <w:sz w:val="28"/>
          <w:szCs w:val="28"/>
        </w:rPr>
        <w:lastRenderedPageBreak/>
        <w:t xml:space="preserve">　　十、财政部等有关部门及其工作人员在政策执行过程中，存在违反执行免税政策规定的行为，以及滥用职权、玩忽职守、徇私舞弊等违法违纪行为的，按照《预算法》、《公务员法》、《行政监察法》、《财政违法行为处罚处分条例》等国家有关规定追究相应责任；涉嫌犯罪的，移送司法机关处理。</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本通知自</w:t>
      </w:r>
      <w:r w:rsidRPr="001D4795">
        <w:rPr>
          <w:rFonts w:hint="eastAsia"/>
          <w:sz w:val="28"/>
          <w:szCs w:val="28"/>
        </w:rPr>
        <w:t>2016</w:t>
      </w:r>
      <w:r w:rsidRPr="001D4795">
        <w:rPr>
          <w:rFonts w:hint="eastAsia"/>
          <w:sz w:val="28"/>
          <w:szCs w:val="28"/>
        </w:rPr>
        <w:t>年</w:t>
      </w:r>
      <w:r w:rsidRPr="001D4795">
        <w:rPr>
          <w:rFonts w:hint="eastAsia"/>
          <w:sz w:val="28"/>
          <w:szCs w:val="28"/>
        </w:rPr>
        <w:t>1</w:t>
      </w:r>
      <w:r w:rsidRPr="001D4795">
        <w:rPr>
          <w:rFonts w:hint="eastAsia"/>
          <w:sz w:val="28"/>
          <w:szCs w:val="28"/>
        </w:rPr>
        <w:t>月</w:t>
      </w:r>
      <w:r w:rsidRPr="001D4795">
        <w:rPr>
          <w:rFonts w:hint="eastAsia"/>
          <w:sz w:val="28"/>
          <w:szCs w:val="28"/>
        </w:rPr>
        <w:t>1</w:t>
      </w:r>
      <w:r w:rsidRPr="001D4795">
        <w:rPr>
          <w:rFonts w:hint="eastAsia"/>
          <w:sz w:val="28"/>
          <w:szCs w:val="28"/>
        </w:rPr>
        <w:t>日起实施。</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附件</w:t>
      </w:r>
      <w:r w:rsidRPr="001D4795">
        <w:rPr>
          <w:rFonts w:hint="eastAsia"/>
          <w:sz w:val="28"/>
          <w:szCs w:val="28"/>
        </w:rPr>
        <w:t xml:space="preserve">: 1. </w:t>
      </w:r>
      <w:r w:rsidRPr="001D4795">
        <w:rPr>
          <w:rFonts w:hint="eastAsia"/>
          <w:sz w:val="28"/>
          <w:szCs w:val="28"/>
        </w:rPr>
        <w:t>科技类民办非企业单位免税进口科学研究、科技开发和教学用品管理办法</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w:t>
      </w:r>
      <w:r w:rsidRPr="001D4795">
        <w:rPr>
          <w:rFonts w:hint="eastAsia"/>
          <w:sz w:val="28"/>
          <w:szCs w:val="28"/>
        </w:rPr>
        <w:t xml:space="preserve">      2. </w:t>
      </w:r>
      <w:r w:rsidRPr="001D4795">
        <w:rPr>
          <w:rFonts w:hint="eastAsia"/>
          <w:sz w:val="28"/>
          <w:szCs w:val="28"/>
        </w:rPr>
        <w:t>国家中小企业公共服务示范平台（技术类）免税进口科学研究、科技开发和教学用品管理办法</w:t>
      </w:r>
    </w:p>
    <w:p w:rsidR="001D4795" w:rsidRPr="001D4795" w:rsidRDefault="001D4795" w:rsidP="001D4795">
      <w:pPr>
        <w:spacing w:before="100" w:beforeAutospacing="1" w:after="240"/>
        <w:rPr>
          <w:rFonts w:hint="eastAsia"/>
          <w:sz w:val="28"/>
          <w:szCs w:val="28"/>
        </w:rPr>
      </w:pPr>
      <w:r w:rsidRPr="001D4795">
        <w:rPr>
          <w:rFonts w:hint="eastAsia"/>
          <w:sz w:val="28"/>
          <w:szCs w:val="28"/>
        </w:rPr>
        <w:t xml:space="preserve">　　</w:t>
      </w:r>
      <w:r w:rsidRPr="001D4795">
        <w:rPr>
          <w:rFonts w:hint="eastAsia"/>
          <w:sz w:val="28"/>
          <w:szCs w:val="28"/>
        </w:rPr>
        <w:t xml:space="preserve">      3. </w:t>
      </w:r>
      <w:r w:rsidRPr="001D4795">
        <w:rPr>
          <w:rFonts w:hint="eastAsia"/>
          <w:sz w:val="28"/>
          <w:szCs w:val="28"/>
        </w:rPr>
        <w:t>外资研发中心免税进口科学研究、科技开发和教学用品管理办法</w:t>
      </w:r>
    </w:p>
    <w:p w:rsidR="001D4795" w:rsidRPr="001D4795" w:rsidRDefault="001D4795" w:rsidP="001D4795">
      <w:pPr>
        <w:spacing w:before="100" w:beforeAutospacing="1" w:after="240"/>
        <w:jc w:val="right"/>
        <w:rPr>
          <w:rFonts w:hint="eastAsia"/>
          <w:sz w:val="28"/>
          <w:szCs w:val="28"/>
        </w:rPr>
      </w:pPr>
      <w:r w:rsidRPr="001D4795">
        <w:rPr>
          <w:rFonts w:hint="eastAsia"/>
          <w:sz w:val="28"/>
          <w:szCs w:val="28"/>
        </w:rPr>
        <w:t> </w:t>
      </w:r>
    </w:p>
    <w:p w:rsidR="001D4795" w:rsidRPr="001D4795" w:rsidRDefault="001D4795" w:rsidP="001D4795">
      <w:pPr>
        <w:spacing w:before="100" w:beforeAutospacing="1" w:after="240"/>
        <w:jc w:val="right"/>
        <w:rPr>
          <w:rFonts w:hint="eastAsia"/>
          <w:sz w:val="28"/>
          <w:szCs w:val="28"/>
        </w:rPr>
      </w:pPr>
      <w:r w:rsidRPr="001D4795">
        <w:rPr>
          <w:rFonts w:hint="eastAsia"/>
          <w:sz w:val="28"/>
          <w:szCs w:val="28"/>
        </w:rPr>
        <w:t xml:space="preserve">　　财政部</w:t>
      </w:r>
      <w:r w:rsidRPr="001D4795">
        <w:rPr>
          <w:rFonts w:hint="eastAsia"/>
          <w:sz w:val="28"/>
          <w:szCs w:val="28"/>
        </w:rPr>
        <w:t xml:space="preserve"> </w:t>
      </w:r>
      <w:r w:rsidRPr="001D4795">
        <w:rPr>
          <w:rFonts w:hint="eastAsia"/>
          <w:sz w:val="28"/>
          <w:szCs w:val="28"/>
        </w:rPr>
        <w:t>教育部</w:t>
      </w:r>
      <w:r w:rsidRPr="001D4795">
        <w:rPr>
          <w:rFonts w:hint="eastAsia"/>
          <w:sz w:val="28"/>
          <w:szCs w:val="28"/>
        </w:rPr>
        <w:t xml:space="preserve"> </w:t>
      </w:r>
      <w:r w:rsidRPr="001D4795">
        <w:rPr>
          <w:rFonts w:hint="eastAsia"/>
          <w:sz w:val="28"/>
          <w:szCs w:val="28"/>
        </w:rPr>
        <w:t>国家发展改革委</w:t>
      </w:r>
      <w:r w:rsidRPr="001D4795">
        <w:rPr>
          <w:rFonts w:hint="eastAsia"/>
          <w:sz w:val="28"/>
          <w:szCs w:val="28"/>
        </w:rPr>
        <w:t xml:space="preserve"> </w:t>
      </w:r>
      <w:r w:rsidRPr="001D4795">
        <w:rPr>
          <w:rFonts w:hint="eastAsia"/>
          <w:sz w:val="28"/>
          <w:szCs w:val="28"/>
        </w:rPr>
        <w:t>科技部</w:t>
      </w:r>
      <w:r w:rsidRPr="001D4795">
        <w:rPr>
          <w:rFonts w:hint="eastAsia"/>
          <w:sz w:val="28"/>
          <w:szCs w:val="28"/>
        </w:rPr>
        <w:t xml:space="preserve"> </w:t>
      </w:r>
      <w:r w:rsidRPr="001D4795">
        <w:rPr>
          <w:rFonts w:hint="eastAsia"/>
          <w:sz w:val="28"/>
          <w:szCs w:val="28"/>
        </w:rPr>
        <w:t>工业和信息化部</w:t>
      </w:r>
    </w:p>
    <w:p w:rsidR="001D4795" w:rsidRPr="001D4795" w:rsidRDefault="001D4795" w:rsidP="001D4795">
      <w:pPr>
        <w:spacing w:before="100" w:beforeAutospacing="1" w:after="240"/>
        <w:jc w:val="right"/>
        <w:rPr>
          <w:rFonts w:hint="eastAsia"/>
          <w:sz w:val="28"/>
          <w:szCs w:val="28"/>
        </w:rPr>
      </w:pPr>
      <w:r w:rsidRPr="001D4795">
        <w:rPr>
          <w:rFonts w:hint="eastAsia"/>
          <w:sz w:val="28"/>
          <w:szCs w:val="28"/>
        </w:rPr>
        <w:t xml:space="preserve">　　民政部</w:t>
      </w:r>
      <w:r w:rsidRPr="001D4795">
        <w:rPr>
          <w:rFonts w:hint="eastAsia"/>
          <w:sz w:val="28"/>
          <w:szCs w:val="28"/>
        </w:rPr>
        <w:t xml:space="preserve"> </w:t>
      </w:r>
      <w:r w:rsidRPr="001D4795">
        <w:rPr>
          <w:rFonts w:hint="eastAsia"/>
          <w:sz w:val="28"/>
          <w:szCs w:val="28"/>
        </w:rPr>
        <w:t>商务部</w:t>
      </w:r>
      <w:r w:rsidRPr="001D4795">
        <w:rPr>
          <w:rFonts w:hint="eastAsia"/>
          <w:sz w:val="28"/>
          <w:szCs w:val="28"/>
        </w:rPr>
        <w:t xml:space="preserve"> </w:t>
      </w:r>
      <w:r w:rsidRPr="001D4795">
        <w:rPr>
          <w:rFonts w:hint="eastAsia"/>
          <w:sz w:val="28"/>
          <w:szCs w:val="28"/>
        </w:rPr>
        <w:t>海关总署</w:t>
      </w:r>
      <w:r w:rsidRPr="001D4795">
        <w:rPr>
          <w:rFonts w:hint="eastAsia"/>
          <w:sz w:val="28"/>
          <w:szCs w:val="28"/>
        </w:rPr>
        <w:t xml:space="preserve"> </w:t>
      </w:r>
      <w:r w:rsidRPr="001D4795">
        <w:rPr>
          <w:rFonts w:hint="eastAsia"/>
          <w:sz w:val="28"/>
          <w:szCs w:val="28"/>
        </w:rPr>
        <w:t>国家税务总局</w:t>
      </w:r>
      <w:r w:rsidRPr="001D4795">
        <w:rPr>
          <w:rFonts w:hint="eastAsia"/>
          <w:sz w:val="28"/>
          <w:szCs w:val="28"/>
        </w:rPr>
        <w:t xml:space="preserve"> </w:t>
      </w:r>
      <w:r w:rsidRPr="001D4795">
        <w:rPr>
          <w:rFonts w:hint="eastAsia"/>
          <w:sz w:val="28"/>
          <w:szCs w:val="28"/>
        </w:rPr>
        <w:t>国家新闻出版广电总局</w:t>
      </w:r>
    </w:p>
    <w:p w:rsidR="001D4795" w:rsidRPr="001D4795" w:rsidRDefault="001D4795" w:rsidP="001D4795">
      <w:pPr>
        <w:ind w:firstLineChars="2250" w:firstLine="6300"/>
        <w:rPr>
          <w:sz w:val="28"/>
          <w:szCs w:val="28"/>
        </w:rPr>
      </w:pPr>
      <w:r w:rsidRPr="001D4795">
        <w:rPr>
          <w:rFonts w:hint="eastAsia"/>
          <w:sz w:val="28"/>
          <w:szCs w:val="28"/>
        </w:rPr>
        <w:t>2017</w:t>
      </w:r>
      <w:r w:rsidRPr="001D4795">
        <w:rPr>
          <w:rFonts w:hint="eastAsia"/>
          <w:sz w:val="28"/>
          <w:szCs w:val="28"/>
        </w:rPr>
        <w:t>年</w:t>
      </w:r>
      <w:r w:rsidRPr="001D4795">
        <w:rPr>
          <w:rFonts w:hint="eastAsia"/>
          <w:sz w:val="28"/>
          <w:szCs w:val="28"/>
        </w:rPr>
        <w:t>1</w:t>
      </w:r>
      <w:r w:rsidRPr="001D4795">
        <w:rPr>
          <w:rFonts w:hint="eastAsia"/>
          <w:sz w:val="28"/>
          <w:szCs w:val="28"/>
        </w:rPr>
        <w:t>月</w:t>
      </w:r>
      <w:r w:rsidRPr="001D4795">
        <w:rPr>
          <w:rFonts w:hint="eastAsia"/>
          <w:sz w:val="28"/>
          <w:szCs w:val="28"/>
        </w:rPr>
        <w:t>14</w:t>
      </w:r>
      <w:r w:rsidRPr="001D4795">
        <w:rPr>
          <w:rFonts w:hint="eastAsia"/>
          <w:sz w:val="28"/>
          <w:szCs w:val="28"/>
        </w:rPr>
        <w:t>日</w:t>
      </w:r>
    </w:p>
    <w:sectPr w:rsidR="001D4795" w:rsidRPr="001D4795" w:rsidSect="001D4795">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07" w:rsidRDefault="005A3E07" w:rsidP="001D4795">
      <w:r>
        <w:separator/>
      </w:r>
    </w:p>
  </w:endnote>
  <w:endnote w:type="continuationSeparator" w:id="0">
    <w:p w:rsidR="005A3E07" w:rsidRDefault="005A3E07" w:rsidP="001D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07" w:rsidRDefault="005A3E07" w:rsidP="001D4795">
      <w:r>
        <w:separator/>
      </w:r>
    </w:p>
  </w:footnote>
  <w:footnote w:type="continuationSeparator" w:id="0">
    <w:p w:rsidR="005A3E07" w:rsidRDefault="005A3E07" w:rsidP="001D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BB"/>
    <w:rsid w:val="001024BB"/>
    <w:rsid w:val="001D4795"/>
    <w:rsid w:val="005A3E07"/>
    <w:rsid w:val="00C409DA"/>
    <w:rsid w:val="00CE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4BB"/>
    <w:rPr>
      <w:strike w:val="0"/>
      <w:dstrike w:val="0"/>
      <w:color w:val="3D3D3D"/>
      <w:u w:val="none"/>
      <w:effect w:val="none"/>
    </w:rPr>
  </w:style>
  <w:style w:type="paragraph" w:styleId="a4">
    <w:name w:val="Normal (Web)"/>
    <w:basedOn w:val="a"/>
    <w:uiPriority w:val="99"/>
    <w:semiHidden/>
    <w:unhideWhenUsed/>
    <w:rsid w:val="001024B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024BB"/>
    <w:rPr>
      <w:b/>
      <w:bCs/>
    </w:rPr>
  </w:style>
  <w:style w:type="paragraph" w:styleId="a6">
    <w:name w:val="header"/>
    <w:basedOn w:val="a"/>
    <w:link w:val="Char"/>
    <w:uiPriority w:val="99"/>
    <w:unhideWhenUsed/>
    <w:rsid w:val="001D4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D4795"/>
    <w:rPr>
      <w:sz w:val="18"/>
      <w:szCs w:val="18"/>
    </w:rPr>
  </w:style>
  <w:style w:type="paragraph" w:styleId="a7">
    <w:name w:val="footer"/>
    <w:basedOn w:val="a"/>
    <w:link w:val="Char0"/>
    <w:uiPriority w:val="99"/>
    <w:unhideWhenUsed/>
    <w:rsid w:val="001D4795"/>
    <w:pPr>
      <w:tabs>
        <w:tab w:val="center" w:pos="4153"/>
        <w:tab w:val="right" w:pos="8306"/>
      </w:tabs>
      <w:snapToGrid w:val="0"/>
      <w:jc w:val="left"/>
    </w:pPr>
    <w:rPr>
      <w:sz w:val="18"/>
      <w:szCs w:val="18"/>
    </w:rPr>
  </w:style>
  <w:style w:type="character" w:customStyle="1" w:styleId="Char0">
    <w:name w:val="页脚 Char"/>
    <w:basedOn w:val="a0"/>
    <w:link w:val="a7"/>
    <w:uiPriority w:val="99"/>
    <w:rsid w:val="001D47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4BB"/>
    <w:rPr>
      <w:strike w:val="0"/>
      <w:dstrike w:val="0"/>
      <w:color w:val="3D3D3D"/>
      <w:u w:val="none"/>
      <w:effect w:val="none"/>
    </w:rPr>
  </w:style>
  <w:style w:type="paragraph" w:styleId="a4">
    <w:name w:val="Normal (Web)"/>
    <w:basedOn w:val="a"/>
    <w:uiPriority w:val="99"/>
    <w:semiHidden/>
    <w:unhideWhenUsed/>
    <w:rsid w:val="001024B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024BB"/>
    <w:rPr>
      <w:b/>
      <w:bCs/>
    </w:rPr>
  </w:style>
  <w:style w:type="paragraph" w:styleId="a6">
    <w:name w:val="header"/>
    <w:basedOn w:val="a"/>
    <w:link w:val="Char"/>
    <w:uiPriority w:val="99"/>
    <w:unhideWhenUsed/>
    <w:rsid w:val="001D4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D4795"/>
    <w:rPr>
      <w:sz w:val="18"/>
      <w:szCs w:val="18"/>
    </w:rPr>
  </w:style>
  <w:style w:type="paragraph" w:styleId="a7">
    <w:name w:val="footer"/>
    <w:basedOn w:val="a"/>
    <w:link w:val="Char0"/>
    <w:uiPriority w:val="99"/>
    <w:unhideWhenUsed/>
    <w:rsid w:val="001D4795"/>
    <w:pPr>
      <w:tabs>
        <w:tab w:val="center" w:pos="4153"/>
        <w:tab w:val="right" w:pos="8306"/>
      </w:tabs>
      <w:snapToGrid w:val="0"/>
      <w:jc w:val="left"/>
    </w:pPr>
    <w:rPr>
      <w:sz w:val="18"/>
      <w:szCs w:val="18"/>
    </w:rPr>
  </w:style>
  <w:style w:type="character" w:customStyle="1" w:styleId="Char0">
    <w:name w:val="页脚 Char"/>
    <w:basedOn w:val="a0"/>
    <w:link w:val="a7"/>
    <w:uiPriority w:val="99"/>
    <w:rsid w:val="001D47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0814">
      <w:bodyDiv w:val="1"/>
      <w:marLeft w:val="0"/>
      <w:marRight w:val="0"/>
      <w:marTop w:val="0"/>
      <w:marBottom w:val="0"/>
      <w:divBdr>
        <w:top w:val="none" w:sz="0" w:space="0" w:color="auto"/>
        <w:left w:val="none" w:sz="0" w:space="0" w:color="auto"/>
        <w:bottom w:val="none" w:sz="0" w:space="0" w:color="auto"/>
        <w:right w:val="none" w:sz="0" w:space="0" w:color="auto"/>
      </w:divBdr>
      <w:divsChild>
        <w:div w:id="399326798">
          <w:marLeft w:val="0"/>
          <w:marRight w:val="0"/>
          <w:marTop w:val="0"/>
          <w:marBottom w:val="0"/>
          <w:divBdr>
            <w:top w:val="none" w:sz="0" w:space="0" w:color="auto"/>
            <w:left w:val="none" w:sz="0" w:space="0" w:color="auto"/>
            <w:bottom w:val="none" w:sz="0" w:space="0" w:color="auto"/>
            <w:right w:val="none" w:sz="0" w:space="0" w:color="auto"/>
          </w:divBdr>
          <w:divsChild>
            <w:div w:id="96097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3756941">
      <w:bodyDiv w:val="1"/>
      <w:marLeft w:val="0"/>
      <w:marRight w:val="0"/>
      <w:marTop w:val="0"/>
      <w:marBottom w:val="0"/>
      <w:divBdr>
        <w:top w:val="none" w:sz="0" w:space="0" w:color="auto"/>
        <w:left w:val="none" w:sz="0" w:space="0" w:color="auto"/>
        <w:bottom w:val="none" w:sz="0" w:space="0" w:color="auto"/>
        <w:right w:val="none" w:sz="0" w:space="0" w:color="auto"/>
      </w:divBdr>
      <w:divsChild>
        <w:div w:id="1375233950">
          <w:marLeft w:val="0"/>
          <w:marRight w:val="0"/>
          <w:marTop w:val="0"/>
          <w:marBottom w:val="0"/>
          <w:divBdr>
            <w:top w:val="none" w:sz="0" w:space="0" w:color="auto"/>
            <w:left w:val="none" w:sz="0" w:space="0" w:color="auto"/>
            <w:bottom w:val="none" w:sz="0" w:space="0" w:color="auto"/>
            <w:right w:val="none" w:sz="0" w:space="0" w:color="auto"/>
          </w:divBdr>
          <w:divsChild>
            <w:div w:id="2113432882">
              <w:marLeft w:val="0"/>
              <w:marRight w:val="0"/>
              <w:marTop w:val="0"/>
              <w:marBottom w:val="0"/>
              <w:divBdr>
                <w:top w:val="none" w:sz="0" w:space="0" w:color="auto"/>
                <w:left w:val="none" w:sz="0" w:space="0" w:color="auto"/>
                <w:bottom w:val="none" w:sz="0" w:space="0" w:color="auto"/>
                <w:right w:val="none" w:sz="0" w:space="0" w:color="auto"/>
              </w:divBdr>
              <w:divsChild>
                <w:div w:id="1556309256">
                  <w:marLeft w:val="0"/>
                  <w:marRight w:val="0"/>
                  <w:marTop w:val="150"/>
                  <w:marBottom w:val="150"/>
                  <w:divBdr>
                    <w:top w:val="none" w:sz="0" w:space="0" w:color="auto"/>
                    <w:left w:val="none" w:sz="0" w:space="0" w:color="auto"/>
                    <w:bottom w:val="none" w:sz="0" w:space="0" w:color="auto"/>
                    <w:right w:val="none" w:sz="0" w:space="0" w:color="auto"/>
                  </w:divBdr>
                  <w:divsChild>
                    <w:div w:id="924804946">
                      <w:marLeft w:val="0"/>
                      <w:marRight w:val="0"/>
                      <w:marTop w:val="100"/>
                      <w:marBottom w:val="100"/>
                      <w:divBdr>
                        <w:top w:val="none" w:sz="0" w:space="0" w:color="auto"/>
                        <w:left w:val="none" w:sz="0" w:space="0" w:color="auto"/>
                        <w:bottom w:val="none" w:sz="0" w:space="0" w:color="auto"/>
                        <w:right w:val="none" w:sz="0" w:space="0" w:color="auto"/>
                      </w:divBdr>
                      <w:divsChild>
                        <w:div w:id="402026639">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300</Words>
  <Characters>1712</Characters>
  <Application>Microsoft Office Word</Application>
  <DocSecurity>0</DocSecurity>
  <Lines>14</Lines>
  <Paragraphs>4</Paragraphs>
  <ScaleCrop>false</ScaleCrop>
  <Company>china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2017-03-01T02:25:00Z</dcterms:created>
  <dcterms:modified xsi:type="dcterms:W3CDTF">2017-03-01T02:38:00Z</dcterms:modified>
</cp:coreProperties>
</file>