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1BBF3" w14:textId="77777777" w:rsidR="00CD0B7A" w:rsidRPr="00CD0B7A" w:rsidRDefault="00CD0B7A" w:rsidP="00A62B80">
      <w:pPr>
        <w:spacing w:line="312" w:lineRule="auto"/>
        <w:jc w:val="center"/>
        <w:rPr>
          <w:rFonts w:ascii="宋体" w:eastAsia="宋体" w:hAnsi="宋体" w:cs="Times New Roman"/>
          <w:b/>
          <w:bCs/>
          <w:sz w:val="32"/>
          <w:szCs w:val="36"/>
        </w:rPr>
      </w:pPr>
      <w:r w:rsidRPr="00CD0B7A">
        <w:rPr>
          <w:rFonts w:ascii="宋体" w:eastAsia="宋体" w:hAnsi="宋体" w:cs="Times New Roman"/>
          <w:b/>
          <w:bCs/>
          <w:sz w:val="32"/>
          <w:szCs w:val="36"/>
        </w:rPr>
        <w:t>中国进出口商品交易会联营参展管理办法</w:t>
      </w:r>
    </w:p>
    <w:p w14:paraId="4E043477" w14:textId="77777777" w:rsidR="00CD0B7A" w:rsidRPr="00CD0B7A" w:rsidRDefault="00CD0B7A" w:rsidP="00CD0B7A">
      <w:pPr>
        <w:spacing w:line="312" w:lineRule="auto"/>
        <w:jc w:val="center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sz w:val="28"/>
          <w:szCs w:val="32"/>
        </w:rPr>
        <w:t>发布日期：2024-08-09</w:t>
      </w:r>
    </w:p>
    <w:p w14:paraId="6EF5240C" w14:textId="77777777" w:rsidR="00CD0B7A" w:rsidRPr="00A62B80" w:rsidRDefault="00CD0B7A" w:rsidP="00CD0B7A">
      <w:pPr>
        <w:spacing w:line="312" w:lineRule="auto"/>
        <w:rPr>
          <w:rFonts w:ascii="宋体" w:eastAsia="宋体" w:hAnsi="宋体" w:cs="Times New Roman"/>
          <w:b/>
          <w:bCs/>
          <w:sz w:val="28"/>
          <w:szCs w:val="32"/>
        </w:rPr>
      </w:pPr>
    </w:p>
    <w:p w14:paraId="2B334776" w14:textId="496CD35B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b/>
          <w:bCs/>
          <w:sz w:val="28"/>
          <w:szCs w:val="32"/>
        </w:rPr>
        <w:t>第一章 总则</w:t>
      </w:r>
    </w:p>
    <w:p w14:paraId="69494ED5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b/>
          <w:bCs/>
          <w:sz w:val="28"/>
          <w:szCs w:val="32"/>
        </w:rPr>
        <w:t>第一条</w:t>
      </w:r>
      <w:r w:rsidRPr="00CD0B7A">
        <w:rPr>
          <w:rFonts w:ascii="宋体" w:eastAsia="宋体" w:hAnsi="宋体" w:cs="Times New Roman"/>
          <w:sz w:val="28"/>
          <w:szCs w:val="32"/>
        </w:rPr>
        <w:t> 为推动中国进出口商品交易会（广交会）创新发展，提升展览成效，更好发挥联营参展积极作用，规范联营参展相关安排，特制定本办法。</w:t>
      </w:r>
    </w:p>
    <w:p w14:paraId="3C6240D5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b/>
          <w:bCs/>
          <w:sz w:val="28"/>
          <w:szCs w:val="32"/>
        </w:rPr>
        <w:t>第二条</w:t>
      </w:r>
      <w:r w:rsidRPr="00CD0B7A">
        <w:rPr>
          <w:rFonts w:ascii="宋体" w:eastAsia="宋体" w:hAnsi="宋体" w:cs="Times New Roman"/>
          <w:sz w:val="28"/>
          <w:szCs w:val="32"/>
        </w:rPr>
        <w:t> 联营参展是指交易团组团单位按照本办法规定的条件和程序，指导本团参展企业联合经营或供货合作方共同参展。</w:t>
      </w:r>
    </w:p>
    <w:p w14:paraId="205E0419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b/>
          <w:bCs/>
          <w:sz w:val="28"/>
          <w:szCs w:val="32"/>
        </w:rPr>
        <w:t>第三条</w:t>
      </w:r>
      <w:r w:rsidRPr="00CD0B7A">
        <w:rPr>
          <w:rFonts w:ascii="宋体" w:eastAsia="宋体" w:hAnsi="宋体" w:cs="Times New Roman"/>
          <w:sz w:val="28"/>
          <w:szCs w:val="32"/>
        </w:rPr>
        <w:t> 广交会各交易团（分团）负责受理本团参展企业联营申报的审核和管理，指导本团联营企业按照广交会相关规定参展。</w:t>
      </w:r>
    </w:p>
    <w:p w14:paraId="51CFE8F4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b/>
          <w:bCs/>
          <w:sz w:val="28"/>
          <w:szCs w:val="32"/>
        </w:rPr>
        <w:t>第二章 联营参展资格要求</w:t>
      </w:r>
      <w:r w:rsidRPr="00CD0B7A">
        <w:rPr>
          <w:rFonts w:ascii="宋体" w:eastAsia="宋体" w:hAnsi="宋体" w:cs="Times New Roman"/>
          <w:sz w:val="28"/>
          <w:szCs w:val="32"/>
        </w:rPr>
        <w:t> </w:t>
      </w:r>
    </w:p>
    <w:p w14:paraId="3028C97C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b/>
          <w:bCs/>
          <w:sz w:val="28"/>
          <w:szCs w:val="32"/>
        </w:rPr>
        <w:t>第四条</w:t>
      </w:r>
      <w:r w:rsidRPr="00CD0B7A">
        <w:rPr>
          <w:rFonts w:ascii="宋体" w:eastAsia="宋体" w:hAnsi="宋体" w:cs="Times New Roman"/>
          <w:sz w:val="28"/>
          <w:szCs w:val="32"/>
        </w:rPr>
        <w:t> 参展企业申报联营，需满足下列条件：</w:t>
      </w:r>
    </w:p>
    <w:p w14:paraId="27C662A7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sz w:val="28"/>
          <w:szCs w:val="32"/>
        </w:rPr>
        <w:t>（一）须为流通型企业。即广交会企业类型中的外贸企业或工贸企业。</w:t>
      </w:r>
    </w:p>
    <w:p w14:paraId="00C37AE3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sz w:val="28"/>
          <w:szCs w:val="32"/>
        </w:rPr>
        <w:t>（二）取得参展资格，并在同一展区的相邻展位数3个或3个以上。</w:t>
      </w:r>
    </w:p>
    <w:p w14:paraId="664DFE40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b/>
          <w:bCs/>
          <w:sz w:val="28"/>
          <w:szCs w:val="32"/>
        </w:rPr>
        <w:t>第五条</w:t>
      </w:r>
      <w:r w:rsidRPr="00CD0B7A">
        <w:rPr>
          <w:rFonts w:ascii="宋体" w:eastAsia="宋体" w:hAnsi="宋体" w:cs="Times New Roman"/>
          <w:sz w:val="28"/>
          <w:szCs w:val="32"/>
        </w:rPr>
        <w:t> 联营企业需满足下列条件：</w:t>
      </w:r>
    </w:p>
    <w:p w14:paraId="591FC866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sz w:val="28"/>
          <w:szCs w:val="32"/>
        </w:rPr>
        <w:t>（一）须为非流通型企业。即广交会企业类型中的生产企业、科研院所或其他企业。</w:t>
      </w:r>
    </w:p>
    <w:p w14:paraId="3357CC9E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sz w:val="28"/>
          <w:szCs w:val="32"/>
        </w:rPr>
        <w:t>（二）与参展企业存在联合经营或真实供货合作关系。</w:t>
      </w:r>
    </w:p>
    <w:p w14:paraId="4A51A1E3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b/>
          <w:bCs/>
          <w:sz w:val="28"/>
          <w:szCs w:val="32"/>
        </w:rPr>
        <w:t>第六条</w:t>
      </w:r>
      <w:r w:rsidRPr="00CD0B7A">
        <w:rPr>
          <w:rFonts w:ascii="宋体" w:eastAsia="宋体" w:hAnsi="宋体" w:cs="Times New Roman"/>
          <w:sz w:val="28"/>
          <w:szCs w:val="32"/>
        </w:rPr>
        <w:t> 为更好发挥广交会展位安排政策效应，在广交会一般性展位数量安排中获得系数加权的交易团，其参展的流通型企业须与本省内非流通型企业联营。</w:t>
      </w:r>
    </w:p>
    <w:p w14:paraId="38BC6F29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b/>
          <w:bCs/>
          <w:sz w:val="28"/>
          <w:szCs w:val="32"/>
        </w:rPr>
        <w:t>第七条</w:t>
      </w:r>
      <w:r w:rsidRPr="00CD0B7A">
        <w:rPr>
          <w:rFonts w:ascii="宋体" w:eastAsia="宋体" w:hAnsi="宋体" w:cs="Times New Roman"/>
          <w:sz w:val="28"/>
          <w:szCs w:val="32"/>
        </w:rPr>
        <w:t> 单个参展企业在同一展区最多可申请与2家企业联营。品牌展位及其粘连的一般性展位不得联营。</w:t>
      </w:r>
    </w:p>
    <w:p w14:paraId="30014EBD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b/>
          <w:bCs/>
          <w:sz w:val="28"/>
          <w:szCs w:val="32"/>
        </w:rPr>
        <w:t>第八条</w:t>
      </w:r>
      <w:r w:rsidRPr="00CD0B7A">
        <w:rPr>
          <w:rFonts w:ascii="宋体" w:eastAsia="宋体" w:hAnsi="宋体" w:cs="Times New Roman"/>
          <w:sz w:val="28"/>
          <w:szCs w:val="32"/>
        </w:rPr>
        <w:t> 属于下列情形之一的企业禁止联营参展：</w:t>
      </w:r>
    </w:p>
    <w:p w14:paraId="3D367024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sz w:val="28"/>
          <w:szCs w:val="32"/>
        </w:rPr>
        <w:t>（一）国家商务、环保、卫生、人力资源和社会保障、海关、税务、市场监管（知识产权）、外汇、安监、药监等部门通报、公告或处罚的违法违规企业，且在通报、公告或处罚期限内的；无明确期限的，按通报、公告</w:t>
      </w:r>
      <w:r w:rsidRPr="00CD0B7A">
        <w:rPr>
          <w:rFonts w:ascii="宋体" w:eastAsia="宋体" w:hAnsi="宋体" w:cs="Times New Roman"/>
          <w:sz w:val="28"/>
          <w:szCs w:val="32"/>
        </w:rPr>
        <w:lastRenderedPageBreak/>
        <w:t>或处罚之日起连续6届禁止参展。</w:t>
      </w:r>
    </w:p>
    <w:p w14:paraId="6C78F9DB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sz w:val="28"/>
          <w:szCs w:val="32"/>
        </w:rPr>
        <w:t>（二）因违规转让或转租（卖）广交会展位，涉及贸易纠纷投诉，涉嫌侵犯知识产权，参展表现恶劣、拒不服从广交会管理、破坏展览秩序，或违反广交会其他规定，被广交会取消参展资格并处于处罚期限内的企业。</w:t>
      </w:r>
    </w:p>
    <w:p w14:paraId="78162C29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b/>
          <w:bCs/>
          <w:sz w:val="28"/>
          <w:szCs w:val="32"/>
        </w:rPr>
        <w:t>第三章 联营参展申报及审核程序</w:t>
      </w:r>
      <w:r w:rsidRPr="00CD0B7A">
        <w:rPr>
          <w:rFonts w:ascii="宋体" w:eastAsia="宋体" w:hAnsi="宋体" w:cs="Times New Roman"/>
          <w:sz w:val="28"/>
          <w:szCs w:val="32"/>
        </w:rPr>
        <w:t> </w:t>
      </w:r>
    </w:p>
    <w:p w14:paraId="05A9066D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b/>
          <w:bCs/>
          <w:sz w:val="28"/>
          <w:szCs w:val="32"/>
        </w:rPr>
        <w:t>第九条</w:t>
      </w:r>
      <w:r w:rsidRPr="00CD0B7A">
        <w:rPr>
          <w:rFonts w:ascii="宋体" w:eastAsia="宋体" w:hAnsi="宋体" w:cs="Times New Roman"/>
          <w:sz w:val="28"/>
          <w:szCs w:val="32"/>
        </w:rPr>
        <w:t> 符合要求的参展企业，可根据每届广交会出口展展位申请通知，在规定时间内登陆广交会官网“参展易捷通”平台在线申请联营参展。</w:t>
      </w:r>
    </w:p>
    <w:p w14:paraId="40683BDE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b/>
          <w:bCs/>
          <w:sz w:val="28"/>
          <w:szCs w:val="32"/>
        </w:rPr>
        <w:t>第十条</w:t>
      </w:r>
      <w:r w:rsidRPr="00CD0B7A">
        <w:rPr>
          <w:rFonts w:ascii="宋体" w:eastAsia="宋体" w:hAnsi="宋体" w:cs="Times New Roman"/>
          <w:sz w:val="28"/>
          <w:szCs w:val="32"/>
        </w:rPr>
        <w:t> 广交会各交易团负责对参展企业在线提交的联营登记信息进行审核，通过后提交外贸中心，并在广交会官网、交易团网站公示公布。</w:t>
      </w:r>
    </w:p>
    <w:p w14:paraId="79CD9D4B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b/>
          <w:bCs/>
          <w:sz w:val="28"/>
          <w:szCs w:val="32"/>
        </w:rPr>
        <w:t>第十一条</w:t>
      </w:r>
      <w:r w:rsidRPr="00CD0B7A">
        <w:rPr>
          <w:rFonts w:ascii="宋体" w:eastAsia="宋体" w:hAnsi="宋体" w:cs="Times New Roman"/>
          <w:sz w:val="28"/>
          <w:szCs w:val="32"/>
        </w:rPr>
        <w:t> 展位位置安排结果公布后，参展企业需在规定时间内，通过广交会“参展易捷通”平台将审核通过的联营企业关联到对应展位号，1个</w:t>
      </w:r>
      <w:proofErr w:type="gramStart"/>
      <w:r w:rsidRPr="00CD0B7A">
        <w:rPr>
          <w:rFonts w:ascii="宋体" w:eastAsia="宋体" w:hAnsi="宋体" w:cs="Times New Roman"/>
          <w:sz w:val="28"/>
          <w:szCs w:val="32"/>
        </w:rPr>
        <w:t>展位仅</w:t>
      </w:r>
      <w:proofErr w:type="gramEnd"/>
      <w:r w:rsidRPr="00CD0B7A">
        <w:rPr>
          <w:rFonts w:ascii="宋体" w:eastAsia="宋体" w:hAnsi="宋体" w:cs="Times New Roman"/>
          <w:sz w:val="28"/>
          <w:szCs w:val="32"/>
        </w:rPr>
        <w:t>能关联1家联营企业，关联确认后联营参展关系方正式生效。</w:t>
      </w:r>
    </w:p>
    <w:p w14:paraId="60184ACB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b/>
          <w:bCs/>
          <w:sz w:val="28"/>
          <w:szCs w:val="32"/>
        </w:rPr>
        <w:t>第十二条</w:t>
      </w:r>
      <w:r w:rsidRPr="00CD0B7A">
        <w:rPr>
          <w:rFonts w:ascii="宋体" w:eastAsia="宋体" w:hAnsi="宋体" w:cs="Times New Roman"/>
          <w:sz w:val="28"/>
          <w:szCs w:val="32"/>
        </w:rPr>
        <w:t> 每届广交会开展前1个月，参展企业可登陆广交会官网“参展易捷通”平台，在10天内对已提交的联营信息进行增改或取消。各</w:t>
      </w:r>
      <w:proofErr w:type="gramStart"/>
      <w:r w:rsidRPr="00CD0B7A">
        <w:rPr>
          <w:rFonts w:ascii="宋体" w:eastAsia="宋体" w:hAnsi="宋体" w:cs="Times New Roman"/>
          <w:sz w:val="28"/>
          <w:szCs w:val="32"/>
        </w:rPr>
        <w:t>交易团需及时</w:t>
      </w:r>
      <w:proofErr w:type="gramEnd"/>
      <w:r w:rsidRPr="00CD0B7A">
        <w:rPr>
          <w:rFonts w:ascii="宋体" w:eastAsia="宋体" w:hAnsi="宋体" w:cs="Times New Roman"/>
          <w:sz w:val="28"/>
          <w:szCs w:val="32"/>
        </w:rPr>
        <w:t>审核，通过后将联营修改情况，在广交会官网、交易团网站公示公布。</w:t>
      </w:r>
    </w:p>
    <w:p w14:paraId="1EFA3407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b/>
          <w:bCs/>
          <w:sz w:val="28"/>
          <w:szCs w:val="32"/>
        </w:rPr>
        <w:t>第四章 联营参展安排及管理</w:t>
      </w:r>
      <w:r w:rsidRPr="00CD0B7A">
        <w:rPr>
          <w:rFonts w:ascii="宋体" w:eastAsia="宋体" w:hAnsi="宋体" w:cs="Times New Roman"/>
          <w:sz w:val="28"/>
          <w:szCs w:val="32"/>
        </w:rPr>
        <w:t> </w:t>
      </w:r>
    </w:p>
    <w:p w14:paraId="7FAAA1B1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b/>
          <w:bCs/>
          <w:sz w:val="28"/>
          <w:szCs w:val="32"/>
        </w:rPr>
        <w:t>第十三条</w:t>
      </w:r>
      <w:r w:rsidRPr="00CD0B7A">
        <w:rPr>
          <w:rFonts w:ascii="宋体" w:eastAsia="宋体" w:hAnsi="宋体" w:cs="Times New Roman"/>
          <w:sz w:val="28"/>
          <w:szCs w:val="32"/>
        </w:rPr>
        <w:t> 联营企业参展安排包括：</w:t>
      </w:r>
    </w:p>
    <w:p w14:paraId="500A097F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sz w:val="28"/>
          <w:szCs w:val="32"/>
        </w:rPr>
        <w:t>（一）外贸中心制作包括参展企业与联营企业信息的参展证明，并摆放在展位内。展位</w:t>
      </w:r>
      <w:proofErr w:type="gramStart"/>
      <w:r w:rsidRPr="00CD0B7A">
        <w:rPr>
          <w:rFonts w:ascii="宋体" w:eastAsia="宋体" w:hAnsi="宋体" w:cs="Times New Roman"/>
          <w:sz w:val="28"/>
          <w:szCs w:val="32"/>
        </w:rPr>
        <w:t>楣</w:t>
      </w:r>
      <w:proofErr w:type="gramEnd"/>
      <w:r w:rsidRPr="00CD0B7A">
        <w:rPr>
          <w:rFonts w:ascii="宋体" w:eastAsia="宋体" w:hAnsi="宋体" w:cs="Times New Roman"/>
          <w:sz w:val="28"/>
          <w:szCs w:val="32"/>
        </w:rPr>
        <w:t>板上只允许列明参展企业名称。</w:t>
      </w:r>
    </w:p>
    <w:p w14:paraId="2C1B3344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sz w:val="28"/>
          <w:szCs w:val="32"/>
        </w:rPr>
        <w:t>（二）联营企业可在展位上展示宣传资料，包括设置显著标识，印发本企业名称的名片，宣传本企业产品的网站、光盘或纸质材料，摆放本企业产品等。</w:t>
      </w:r>
    </w:p>
    <w:p w14:paraId="2A8A8149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sz w:val="28"/>
          <w:szCs w:val="32"/>
        </w:rPr>
        <w:t>（三）广交会每个展位可办理3张参展证件。联营企业参展人员可通过对应参展企业，在其展位对应证件额度内办理参展商证。如需增加办证数量，由其向对应参展企业所属交易团申请，经交易团审核后向大会统一办理付费参展代表证。</w:t>
      </w:r>
    </w:p>
    <w:p w14:paraId="1E8E8F3C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sz w:val="28"/>
          <w:szCs w:val="32"/>
        </w:rPr>
        <w:lastRenderedPageBreak/>
        <w:t>（四）大会向联营企业提供的其他服务。</w:t>
      </w:r>
    </w:p>
    <w:p w14:paraId="5E19AFBC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b/>
          <w:bCs/>
          <w:sz w:val="28"/>
          <w:szCs w:val="32"/>
        </w:rPr>
        <w:t>第十四条</w:t>
      </w:r>
      <w:r w:rsidRPr="00CD0B7A">
        <w:rPr>
          <w:rFonts w:ascii="宋体" w:eastAsia="宋体" w:hAnsi="宋体" w:cs="Times New Roman"/>
          <w:sz w:val="28"/>
          <w:szCs w:val="32"/>
        </w:rPr>
        <w:t> 联营参展不得存在下列情形：</w:t>
      </w:r>
    </w:p>
    <w:p w14:paraId="1A77AF51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sz w:val="28"/>
          <w:szCs w:val="32"/>
        </w:rPr>
        <w:t>（一）在一个展位内联营企业超过1家。</w:t>
      </w:r>
    </w:p>
    <w:p w14:paraId="7C8D7F1A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sz w:val="28"/>
          <w:szCs w:val="32"/>
        </w:rPr>
        <w:t>（二）派发或</w:t>
      </w:r>
      <w:proofErr w:type="gramStart"/>
      <w:r w:rsidRPr="00CD0B7A">
        <w:rPr>
          <w:rFonts w:ascii="宋体" w:eastAsia="宋体" w:hAnsi="宋体" w:cs="Times New Roman"/>
          <w:sz w:val="28"/>
          <w:szCs w:val="32"/>
        </w:rPr>
        <w:t>展示非</w:t>
      </w:r>
      <w:proofErr w:type="gramEnd"/>
      <w:r w:rsidRPr="00CD0B7A">
        <w:rPr>
          <w:rFonts w:ascii="宋体" w:eastAsia="宋体" w:hAnsi="宋体" w:cs="Times New Roman"/>
          <w:sz w:val="28"/>
          <w:szCs w:val="32"/>
        </w:rPr>
        <w:t>参展企业及非联营企业的宣传资料，摆放非参展企业及非联营企业的产品等。</w:t>
      </w:r>
    </w:p>
    <w:p w14:paraId="5B520FFD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sz w:val="28"/>
          <w:szCs w:val="32"/>
        </w:rPr>
        <w:t>（三）经大会展位检查组确认的其他违规使用展位行为。</w:t>
      </w:r>
    </w:p>
    <w:p w14:paraId="763C4D60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b/>
          <w:bCs/>
          <w:sz w:val="28"/>
          <w:szCs w:val="32"/>
        </w:rPr>
        <w:t>第十五条</w:t>
      </w:r>
      <w:r w:rsidRPr="00CD0B7A">
        <w:rPr>
          <w:rFonts w:ascii="宋体" w:eastAsia="宋体" w:hAnsi="宋体" w:cs="Times New Roman"/>
          <w:sz w:val="28"/>
          <w:szCs w:val="32"/>
        </w:rPr>
        <w:t> 参展企业不得向联营企业收取超出正常展位费用的其他费用。</w:t>
      </w:r>
    </w:p>
    <w:p w14:paraId="02714E5F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b/>
          <w:bCs/>
          <w:sz w:val="28"/>
          <w:szCs w:val="32"/>
        </w:rPr>
        <w:t>第十六条</w:t>
      </w:r>
      <w:r w:rsidRPr="00CD0B7A">
        <w:rPr>
          <w:rFonts w:ascii="宋体" w:eastAsia="宋体" w:hAnsi="宋体" w:cs="Times New Roman"/>
          <w:sz w:val="28"/>
          <w:szCs w:val="32"/>
        </w:rPr>
        <w:t> 联营参展不得超出流通型企业与非流通型企业联营类型限制范围。</w:t>
      </w:r>
    </w:p>
    <w:p w14:paraId="4FD8349A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b/>
          <w:bCs/>
          <w:sz w:val="28"/>
          <w:szCs w:val="32"/>
        </w:rPr>
        <w:t>第五章 附则</w:t>
      </w:r>
      <w:r w:rsidRPr="00CD0B7A">
        <w:rPr>
          <w:rFonts w:ascii="宋体" w:eastAsia="宋体" w:hAnsi="宋体" w:cs="Times New Roman"/>
          <w:sz w:val="28"/>
          <w:szCs w:val="32"/>
        </w:rPr>
        <w:t> </w:t>
      </w:r>
    </w:p>
    <w:p w14:paraId="3466EA97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b/>
          <w:bCs/>
          <w:sz w:val="28"/>
          <w:szCs w:val="32"/>
        </w:rPr>
        <w:t>第十七条</w:t>
      </w:r>
      <w:r w:rsidRPr="00CD0B7A">
        <w:rPr>
          <w:rFonts w:ascii="宋体" w:eastAsia="宋体" w:hAnsi="宋体" w:cs="Times New Roman"/>
          <w:sz w:val="28"/>
          <w:szCs w:val="32"/>
        </w:rPr>
        <w:t> 广交会各交易团（分团）应积极支持本团内联营企业直接参展，确保将展位安排给真正有需求的企业。可在各展区中安排一定比例（原则上不低于本团在该展区展位总数的10%）具有发展潜力、但暂无出口额（或出口额未达参展标准）的专精特新小巨人、制造业单项冠军、高新技术等企业参展。</w:t>
      </w:r>
    </w:p>
    <w:p w14:paraId="6B4269E3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b/>
          <w:bCs/>
          <w:sz w:val="28"/>
          <w:szCs w:val="32"/>
        </w:rPr>
        <w:t>第十八条</w:t>
      </w:r>
      <w:r w:rsidRPr="00CD0B7A">
        <w:rPr>
          <w:rFonts w:ascii="宋体" w:eastAsia="宋体" w:hAnsi="宋体" w:cs="Times New Roman"/>
          <w:sz w:val="28"/>
          <w:szCs w:val="32"/>
        </w:rPr>
        <w:t> 在每届提交一般性展位数量安排方案后的5个工作日内，广交会各交易团（分团）可将无法安排的展位退回大会，由大会重新安排（仅当届有效）。该部分退回展位不影响交易团展位基数。超出5个工作日则相应扣减展位基数。</w:t>
      </w:r>
    </w:p>
    <w:p w14:paraId="6DE50ACB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b/>
          <w:bCs/>
          <w:sz w:val="28"/>
          <w:szCs w:val="32"/>
        </w:rPr>
        <w:t>第十九条</w:t>
      </w:r>
      <w:r w:rsidRPr="00CD0B7A">
        <w:rPr>
          <w:rFonts w:ascii="宋体" w:eastAsia="宋体" w:hAnsi="宋体" w:cs="Times New Roman"/>
          <w:sz w:val="28"/>
          <w:szCs w:val="32"/>
        </w:rPr>
        <w:t> 本办法由广交会大会负责解释。此前有关规定与本办法不一致的，以本办法为准。</w:t>
      </w:r>
    </w:p>
    <w:p w14:paraId="06DC0C27" w14:textId="77777777" w:rsidR="00CD0B7A" w:rsidRPr="00CD0B7A" w:rsidRDefault="00CD0B7A" w:rsidP="00CD0B7A">
      <w:pPr>
        <w:spacing w:line="312" w:lineRule="auto"/>
        <w:rPr>
          <w:rFonts w:ascii="宋体" w:eastAsia="宋体" w:hAnsi="宋体" w:cs="Times New Roman"/>
          <w:sz w:val="28"/>
          <w:szCs w:val="32"/>
        </w:rPr>
      </w:pPr>
      <w:r w:rsidRPr="00CD0B7A">
        <w:rPr>
          <w:rFonts w:ascii="宋体" w:eastAsia="宋体" w:hAnsi="宋体" w:cs="Times New Roman"/>
          <w:b/>
          <w:bCs/>
          <w:sz w:val="28"/>
          <w:szCs w:val="32"/>
        </w:rPr>
        <w:t>第二十条</w:t>
      </w:r>
      <w:r w:rsidRPr="00CD0B7A">
        <w:rPr>
          <w:rFonts w:ascii="宋体" w:eastAsia="宋体" w:hAnsi="宋体" w:cs="Times New Roman"/>
          <w:sz w:val="28"/>
          <w:szCs w:val="32"/>
        </w:rPr>
        <w:t> 本办法自第136届广交会起执行。</w:t>
      </w:r>
    </w:p>
    <w:p w14:paraId="5FDD699F" w14:textId="77777777" w:rsidR="00A256F8" w:rsidRPr="00A62B80" w:rsidRDefault="00A256F8" w:rsidP="00CD0B7A">
      <w:pPr>
        <w:spacing w:line="360" w:lineRule="auto"/>
        <w:rPr>
          <w:rFonts w:ascii="宋体" w:eastAsia="宋体" w:hAnsi="宋体" w:cs="Times New Roman"/>
          <w:sz w:val="28"/>
          <w:szCs w:val="32"/>
        </w:rPr>
      </w:pPr>
    </w:p>
    <w:sectPr w:rsidR="00A256F8" w:rsidRPr="00A62B80" w:rsidSect="00B05F79">
      <w:pgSz w:w="11906" w:h="16838" w:code="9"/>
      <w:pgMar w:top="2098" w:right="1474" w:bottom="1985" w:left="1588" w:header="851" w:footer="992" w:gutter="0"/>
      <w:cols w:space="425"/>
      <w:docGrid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07CC8" w14:textId="77777777" w:rsidR="00BE4F81" w:rsidRDefault="00BE4F81" w:rsidP="00CD0B7A">
      <w:pPr>
        <w:rPr>
          <w:rFonts w:hint="eastAsia"/>
        </w:rPr>
      </w:pPr>
      <w:r>
        <w:separator/>
      </w:r>
    </w:p>
  </w:endnote>
  <w:endnote w:type="continuationSeparator" w:id="0">
    <w:p w14:paraId="07E3F80E" w14:textId="77777777" w:rsidR="00BE4F81" w:rsidRDefault="00BE4F81" w:rsidP="00CD0B7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38A0D" w14:textId="77777777" w:rsidR="00BE4F81" w:rsidRDefault="00BE4F81" w:rsidP="00CD0B7A">
      <w:pPr>
        <w:rPr>
          <w:rFonts w:hint="eastAsia"/>
        </w:rPr>
      </w:pPr>
      <w:r>
        <w:separator/>
      </w:r>
    </w:p>
  </w:footnote>
  <w:footnote w:type="continuationSeparator" w:id="0">
    <w:p w14:paraId="27C2F809" w14:textId="77777777" w:rsidR="00BE4F81" w:rsidRDefault="00BE4F81" w:rsidP="00CD0B7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defaultTabStop w:val="420"/>
  <w:drawingGridHorizontalSpacing w:val="105"/>
  <w:drawingGridVerticalSpacing w:val="145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EE4"/>
    <w:rsid w:val="00297EE4"/>
    <w:rsid w:val="007210DF"/>
    <w:rsid w:val="007531B5"/>
    <w:rsid w:val="00A256F8"/>
    <w:rsid w:val="00A62B80"/>
    <w:rsid w:val="00B05F79"/>
    <w:rsid w:val="00BE4F81"/>
    <w:rsid w:val="00CD0B7A"/>
    <w:rsid w:val="00D65928"/>
    <w:rsid w:val="00FC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4A4603"/>
  <w15:chartTrackingRefBased/>
  <w15:docId w15:val="{405343B5-0EB7-4483-84F5-FADEB28C1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97EE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7E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7EE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7EE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7EE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7EE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7EE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7EE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7EE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97EE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97E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97E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97EE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97EE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97EE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97EE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97EE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97EE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97EE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97E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7EE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97E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7E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97E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7EE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97EE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7E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97EE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97EE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D0B7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D0B7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D0B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D0B7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Yinfan Ma</dc:creator>
  <cp:keywords/>
  <dc:description/>
  <cp:lastModifiedBy>Yinfan Ma</cp:lastModifiedBy>
  <cp:revision>3</cp:revision>
  <dcterms:created xsi:type="dcterms:W3CDTF">2026-11-05T02:42:00Z</dcterms:created>
  <dcterms:modified xsi:type="dcterms:W3CDTF">2026-11-05T02:43:00Z</dcterms:modified>
</cp:coreProperties>
</file>