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7" w:lineRule="exact"/>
        <w:jc w:val="center"/>
        <w:rPr>
          <w:rFonts w:ascii="Times New Roman" w:hAnsi="Times New Roman" w:eastAsia="方正小标宋_GBK" w:cs="Times New Roman"/>
          <w:sz w:val="44"/>
          <w:szCs w:val="44"/>
        </w:rPr>
      </w:pPr>
    </w:p>
    <w:p>
      <w:pPr>
        <w:spacing w:line="587"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走进自贸伙伴 面向全球市场</w:t>
      </w:r>
    </w:p>
    <w:p>
      <w:pPr>
        <w:keepNext w:val="0"/>
        <w:keepLines w:val="0"/>
        <w:pageBreakBefore w:val="0"/>
        <w:widowControl w:val="0"/>
        <w:kinsoku/>
        <w:wordWrap/>
        <w:overflowPunct/>
        <w:topLinePunct w:val="0"/>
        <w:autoSpaceDE/>
        <w:autoSpaceDN/>
        <w:bidi w:val="0"/>
        <w:adjustRightInd/>
        <w:snapToGrid/>
        <w:spacing w:line="587" w:lineRule="exact"/>
        <w:jc w:val="both"/>
        <w:textAlignment w:val="auto"/>
        <w:outlineLvl w:val="9"/>
        <w:rPr>
          <w:rFonts w:hint="eastAsia" w:ascii="方正小标宋_GBK" w:hAnsi="方正小标宋_GBK" w:eastAsia="方正小标宋_GBK" w:cs="方正小标宋_GBK"/>
          <w:sz w:val="44"/>
          <w:szCs w:val="44"/>
          <w:lang w:eastAsia="zh-CN"/>
        </w:rPr>
      </w:pPr>
    </w:p>
    <w:p>
      <w:pPr>
        <w:spacing w:after="0" w:line="587"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为帮助江苏企业用好自贸伙伴的市场机遇和政策红利，降低出海风险和跨境经营合规成本，江苏省商务厅将分期推出《走进自贸伙伴  面向全球市场》栏目。本栏目聚焦与江苏经贸关系密切的重点自贸伙伴，通过梳理和分析其与江苏的经贸合作情况、自贸区网络布局、原产地规则要点、重点发展产业、重点经贸法规政策等企业关注的关键信息，帮助企业更快地了解自贸伙伴、更好地走进自贸伙伴、更稳地拓展全球市场。本期推出第</w:t>
      </w:r>
      <w:r>
        <w:rPr>
          <w:rFonts w:hint="eastAsia" w:ascii="Times New Roman" w:hAnsi="Times New Roman" w:eastAsia="方正仿宋_GBK" w:cs="Times New Roman"/>
          <w:sz w:val="32"/>
          <w:szCs w:val="32"/>
          <w:lang w:eastAsia="zh-CN"/>
        </w:rPr>
        <w:t>二</w:t>
      </w:r>
      <w:r>
        <w:rPr>
          <w:rFonts w:ascii="Times New Roman" w:hAnsi="Times New Roman" w:eastAsia="方正仿宋_GBK" w:cs="Times New Roman"/>
          <w:sz w:val="32"/>
          <w:szCs w:val="32"/>
        </w:rPr>
        <w:t>期</w:t>
      </w:r>
      <w:r>
        <w:rPr>
          <w:rFonts w:hint="eastAsia" w:ascii="Times New Roman" w:hAnsi="Times New Roman" w:eastAsia="方正仿宋_GBK" w:cs="Times New Roman"/>
          <w:sz w:val="32"/>
          <w:szCs w:val="32"/>
          <w:lang w:eastAsia="zh-CN"/>
        </w:rPr>
        <w:t>泰国</w:t>
      </w:r>
      <w:r>
        <w:rPr>
          <w:rFonts w:ascii="Times New Roman" w:hAnsi="Times New Roman" w:eastAsia="方正仿宋_GBK" w:cs="Times New Roman"/>
          <w:sz w:val="32"/>
          <w:szCs w:val="32"/>
        </w:rPr>
        <w:t>篇，供广大企业参考。</w:t>
      </w:r>
    </w:p>
    <w:p>
      <w:pPr>
        <w:keepNext w:val="0"/>
        <w:keepLines w:val="0"/>
        <w:pageBreakBefore w:val="0"/>
        <w:widowControl w:val="0"/>
        <w:kinsoku/>
        <w:wordWrap/>
        <w:overflowPunct/>
        <w:topLinePunct w:val="0"/>
        <w:autoSpaceDE/>
        <w:autoSpaceDN/>
        <w:bidi w:val="0"/>
        <w:adjustRightInd/>
        <w:snapToGrid/>
        <w:spacing w:line="587" w:lineRule="exact"/>
        <w:jc w:val="center"/>
        <w:textAlignment w:val="auto"/>
        <w:outlineLvl w:val="9"/>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spacing w:line="587" w:lineRule="exact"/>
        <w:jc w:val="center"/>
        <w:textAlignment w:val="auto"/>
        <w:outlineLvl w:val="9"/>
        <w:rPr>
          <w:rFonts w:hint="default" w:ascii="Times New Roman" w:hAnsi="Times New Roman" w:eastAsia="方正仿宋_GBK" w:cs="Times New Roman"/>
          <w:sz w:val="32"/>
          <w:szCs w:val="32"/>
          <w:lang w:eastAsia="zh-CN"/>
        </w:rPr>
      </w:pPr>
      <w:r>
        <w:rPr>
          <w:rFonts w:hint="eastAsia" w:ascii="方正小标宋_GBK" w:hAnsi="方正小标宋_GBK" w:eastAsia="方正小标宋_GBK" w:cs="方正小标宋_GBK"/>
          <w:sz w:val="44"/>
          <w:szCs w:val="44"/>
          <w:lang w:eastAsia="zh-CN"/>
        </w:rPr>
        <w:t>泰国</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outlineLvl w:val="9"/>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2025年，泰国国内生产总值规模超</w:t>
      </w:r>
      <w:r>
        <w:rPr>
          <w:rFonts w:hint="default" w:ascii="Times New Roman" w:hAnsi="Times New Roman" w:eastAsia="方正仿宋_GBK" w:cs="Times New Roman"/>
          <w:sz w:val="32"/>
          <w:szCs w:val="32"/>
          <w:lang w:val="en-US" w:eastAsia="zh-CN"/>
        </w:rPr>
        <w:t>5770</w:t>
      </w:r>
      <w:r>
        <w:rPr>
          <w:rFonts w:hint="default" w:ascii="Times New Roman" w:hAnsi="Times New Roman" w:eastAsia="方正仿宋_GBK" w:cs="Times New Roman"/>
          <w:sz w:val="32"/>
          <w:szCs w:val="32"/>
          <w:lang w:eastAsia="zh-CN"/>
        </w:rPr>
        <w:t>亿美元，同比增长</w:t>
      </w:r>
      <w:r>
        <w:rPr>
          <w:rFonts w:hint="default" w:ascii="Times New Roman" w:hAnsi="Times New Roman" w:eastAsia="方正仿宋_GBK" w:cs="Times New Roman"/>
          <w:sz w:val="32"/>
          <w:szCs w:val="32"/>
          <w:lang w:val="en-US" w:eastAsia="zh-CN"/>
        </w:rPr>
        <w:t>2.4</w:t>
      </w:r>
      <w:r>
        <w:rPr>
          <w:rFonts w:hint="default" w:ascii="Times New Roman" w:hAnsi="Times New Roman" w:eastAsia="方正仿宋_GBK" w:cs="Times New Roman"/>
          <w:sz w:val="32"/>
          <w:szCs w:val="32"/>
          <w:lang w:eastAsia="zh-CN"/>
        </w:rPr>
        <w:t>%，是全球第30大经济体</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东南亚第三大，仅次于印尼和新加坡；人口约6600万，人均GDP为</w:t>
      </w:r>
      <w:r>
        <w:rPr>
          <w:rFonts w:hint="default" w:ascii="Times New Roman" w:hAnsi="Times New Roman" w:eastAsia="方正仿宋_GBK" w:cs="Times New Roman"/>
          <w:sz w:val="32"/>
          <w:szCs w:val="32"/>
          <w:lang w:val="en-US" w:eastAsia="zh-CN"/>
        </w:rPr>
        <w:t>8200</w:t>
      </w:r>
      <w:r>
        <w:rPr>
          <w:rFonts w:hint="default" w:ascii="Times New Roman" w:hAnsi="Times New Roman" w:eastAsia="方正仿宋_GBK" w:cs="Times New Roman"/>
          <w:sz w:val="32"/>
          <w:szCs w:val="32"/>
          <w:lang w:eastAsia="zh-CN"/>
        </w:rPr>
        <w:t>美元</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泰国</w:t>
      </w:r>
      <w:r>
        <w:rPr>
          <w:rFonts w:hint="default" w:ascii="Times New Roman" w:hAnsi="Times New Roman" w:eastAsia="方正仿宋_GBK" w:cs="Times New Roman"/>
          <w:sz w:val="32"/>
          <w:szCs w:val="32"/>
          <w:lang w:val="en-US" w:eastAsia="zh-CN"/>
        </w:rPr>
        <w:t>投资促进委员会</w:t>
      </w:r>
      <w:r>
        <w:rPr>
          <w:rFonts w:hint="default" w:ascii="Times New Roman" w:hAnsi="Times New Roman" w:eastAsia="方正仿宋_GBK" w:cs="Times New Roman"/>
          <w:sz w:val="32"/>
          <w:szCs w:val="32"/>
          <w:lang w:eastAsia="zh-CN"/>
        </w:rPr>
        <w:t>BOI发布</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，全球排名</w:t>
      </w:r>
      <w:bookmarkStart w:id="8" w:name="_GoBack"/>
      <w:bookmarkEnd w:id="8"/>
      <w:r>
        <w:rPr>
          <w:rFonts w:hint="default" w:ascii="Times New Roman" w:hAnsi="Times New Roman" w:eastAsia="方正仿宋_GBK" w:cs="Times New Roman"/>
          <w:sz w:val="32"/>
          <w:szCs w:val="32"/>
          <w:lang w:eastAsia="zh-CN"/>
        </w:rPr>
        <w:t>94位。</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firstLine="640" w:firstLineChars="200"/>
        <w:textAlignment w:val="auto"/>
        <w:outlineLvl w:val="9"/>
        <w:rPr>
          <w:rFonts w:hint="default" w:ascii="Times New Roman" w:hAnsi="Times New Roman" w:eastAsia="方正黑体_GBK" w:cs="Times New Roman"/>
          <w:sz w:val="32"/>
          <w:szCs w:val="32"/>
          <w:lang w:eastAsia="zh-CN"/>
        </w:rPr>
      </w:pPr>
      <w:r>
        <w:rPr>
          <w:rFonts w:hint="default" w:ascii="Times New Roman" w:hAnsi="Times New Roman" w:eastAsia="方正黑体_GBK" w:cs="Times New Roman"/>
          <w:sz w:val="32"/>
          <w:szCs w:val="32"/>
          <w:lang w:eastAsia="zh-CN"/>
        </w:rPr>
        <w:t>一、“十四五”期间泰国与江苏的经贸合作情况</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firstLine="640" w:firstLineChars="200"/>
        <w:textAlignment w:val="auto"/>
        <w:outlineLvl w:val="9"/>
        <w:rPr>
          <w:rFonts w:hint="eastAsia" w:ascii="方正楷体_GBK" w:hAnsi="方正楷体_GBK" w:eastAsia="方正楷体_GBK" w:cs="方正楷体_GBK"/>
          <w:sz w:val="32"/>
          <w:szCs w:val="32"/>
          <w:lang w:val="en-US" w:eastAsia="zh-CN"/>
        </w:rPr>
      </w:pPr>
      <w:bookmarkStart w:id="0" w:name="OLE_LINK3"/>
      <w:r>
        <w:rPr>
          <w:rFonts w:hint="eastAsia" w:ascii="方正楷体_GBK" w:hAnsi="方正楷体_GBK" w:eastAsia="方正楷体_GBK" w:cs="方正楷体_GBK"/>
          <w:sz w:val="32"/>
          <w:szCs w:val="32"/>
          <w:lang w:val="en-US" w:eastAsia="zh-CN"/>
        </w:rPr>
        <w:t>（一）货物贸易</w:t>
      </w:r>
    </w:p>
    <w:bookmarkEnd w:id="0"/>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根据泰国海关数据显示，2025年，泰国实现外贸进出口总额</w:t>
      </w:r>
      <w:r>
        <w:rPr>
          <w:rFonts w:hint="eastAsia" w:ascii="Times New Roman" w:hAnsi="Times New Roman" w:eastAsia="方正仿宋_GBK" w:cs="Times New Roman"/>
          <w:sz w:val="32"/>
          <w:szCs w:val="32"/>
          <w:lang w:val="en-US" w:eastAsia="zh-CN"/>
        </w:rPr>
        <w:t>6878.8</w:t>
      </w:r>
      <w:r>
        <w:rPr>
          <w:rFonts w:hint="eastAsia" w:ascii="Times New Roman" w:hAnsi="Times New Roman" w:eastAsia="方正仿宋_GBK" w:cs="Times New Roman"/>
          <w:sz w:val="32"/>
          <w:szCs w:val="32"/>
          <w:lang w:eastAsia="zh-CN"/>
        </w:rPr>
        <w:t>亿美元，同比增长12.9%。其中，</w:t>
      </w:r>
      <w:r>
        <w:rPr>
          <w:rFonts w:hint="eastAsia" w:ascii="Times New Roman" w:hAnsi="Times New Roman" w:eastAsia="方正仿宋_GBK" w:cs="Times New Roman"/>
          <w:sz w:val="32"/>
          <w:szCs w:val="32"/>
          <w:lang w:val="en-US" w:eastAsia="zh-CN"/>
        </w:rPr>
        <w:t>出口额达3380.3亿美元，同比增长13%；进口额3498.5亿美元，同比增长12.8%</w:t>
      </w:r>
      <w:r>
        <w:rPr>
          <w:rFonts w:hint="eastAsia" w:ascii="Times New Roman" w:hAnsi="Times New Roman" w:eastAsia="方正仿宋_GBK" w:cs="Times New Roman"/>
          <w:sz w:val="32"/>
          <w:szCs w:val="32"/>
          <w:lang w:eastAsia="zh-CN"/>
        </w:rPr>
        <w:t>。江苏和泰国互为重要贸易伙</w:t>
      </w:r>
      <w:r>
        <w:rPr>
          <w:rFonts w:hint="default" w:ascii="Times New Roman" w:hAnsi="Times New Roman" w:eastAsia="方正仿宋_GBK" w:cs="Times New Roman"/>
          <w:sz w:val="32"/>
          <w:szCs w:val="32"/>
          <w:lang w:eastAsia="zh-CN"/>
        </w:rPr>
        <w:t>伴，“十四五”</w:t>
      </w:r>
      <w:r>
        <w:rPr>
          <w:rFonts w:hint="eastAsia" w:ascii="Times New Roman" w:hAnsi="Times New Roman" w:eastAsia="方正仿宋_GBK" w:cs="Times New Roman"/>
          <w:sz w:val="32"/>
          <w:szCs w:val="32"/>
          <w:lang w:eastAsia="zh-CN"/>
        </w:rPr>
        <w:t>期间双边贸易保持较快增长。</w:t>
      </w:r>
      <w:r>
        <w:rPr>
          <w:rFonts w:hint="eastAsia" w:ascii="Times New Roman" w:hAnsi="Times New Roman" w:eastAsia="方正仿宋_GBK" w:cs="Times New Roman"/>
          <w:sz w:val="32"/>
          <w:szCs w:val="32"/>
          <w:lang w:val="en-US" w:eastAsia="zh-CN"/>
        </w:rPr>
        <w:t>2025年，江苏对泰国进出口总额347.8亿美元，同比增长49.8%，贸易顺差49.8亿美元。</w:t>
      </w:r>
    </w:p>
    <w:p>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Times New Roman" w:hAnsi="Times New Roman" w:eastAsia="方正仿宋_GBK" w:cs="Times New Roman"/>
          <w:sz w:val="28"/>
          <w:szCs w:val="28"/>
          <w:lang w:eastAsia="zh-CN"/>
        </w:rPr>
      </w:pPr>
      <w:r>
        <w:drawing>
          <wp:inline distT="0" distB="0" distL="114300" distR="114300">
            <wp:extent cx="5274310" cy="2592070"/>
            <wp:effectExtent l="4445" t="4445" r="17145" b="13335"/>
            <wp:docPr id="2"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outlineLvl w:val="9"/>
        <w:rPr>
          <w:rFonts w:hint="eastAsia" w:ascii="Times New Roman" w:hAnsi="Times New Roman" w:cs="Times New Roman" w:eastAsiaTheme="majorEastAsia"/>
          <w:b/>
          <w:bCs/>
          <w:sz w:val="24"/>
          <w:lang w:eastAsia="zh-CN"/>
        </w:rPr>
      </w:pPr>
      <w:bookmarkStart w:id="1" w:name="OLE_LINK1"/>
      <w:r>
        <w:rPr>
          <w:rFonts w:hint="eastAsia" w:ascii="Times New Roman" w:hAnsi="Times New Roman" w:cs="Times New Roman" w:eastAsiaTheme="majorEastAsia"/>
          <w:b/>
          <w:bCs/>
          <w:sz w:val="24"/>
          <w:lang w:eastAsia="zh-CN"/>
        </w:rPr>
        <w:t>图</w:t>
      </w:r>
      <w:r>
        <w:rPr>
          <w:rFonts w:hint="eastAsia" w:ascii="Times New Roman" w:hAnsi="Times New Roman" w:cs="Times New Roman" w:eastAsiaTheme="majorEastAsia"/>
          <w:b/>
          <w:bCs/>
          <w:sz w:val="24"/>
          <w:lang w:val="en-US" w:eastAsia="zh-CN"/>
        </w:rPr>
        <w:t xml:space="preserve">1 </w:t>
      </w:r>
      <w:r>
        <w:rPr>
          <w:rFonts w:hint="eastAsia" w:ascii="Times New Roman" w:hAnsi="Times New Roman" w:cs="Times New Roman" w:eastAsiaTheme="majorEastAsia"/>
          <w:b/>
          <w:bCs/>
          <w:sz w:val="24"/>
          <w:lang w:eastAsia="zh-CN"/>
        </w:rPr>
        <w:t xml:space="preserve"> 202</w:t>
      </w:r>
      <w:r>
        <w:rPr>
          <w:rFonts w:hint="eastAsia" w:ascii="Times New Roman" w:hAnsi="Times New Roman" w:cs="Times New Roman" w:eastAsiaTheme="majorEastAsia"/>
          <w:b/>
          <w:bCs/>
          <w:sz w:val="24"/>
          <w:lang w:val="en-US" w:eastAsia="zh-CN"/>
        </w:rPr>
        <w:t>1—</w:t>
      </w:r>
      <w:r>
        <w:rPr>
          <w:rFonts w:hint="eastAsia" w:ascii="Times New Roman" w:hAnsi="Times New Roman" w:cs="Times New Roman" w:eastAsiaTheme="majorEastAsia"/>
          <w:b/>
          <w:bCs/>
          <w:sz w:val="24"/>
          <w:lang w:eastAsia="zh-CN"/>
        </w:rPr>
        <w:t>202</w:t>
      </w:r>
      <w:r>
        <w:rPr>
          <w:rFonts w:hint="eastAsia" w:ascii="Times New Roman" w:hAnsi="Times New Roman" w:cs="Times New Roman" w:eastAsiaTheme="majorEastAsia"/>
          <w:b/>
          <w:bCs/>
          <w:sz w:val="24"/>
          <w:lang w:val="en-US" w:eastAsia="zh-CN"/>
        </w:rPr>
        <w:t>5</w:t>
      </w:r>
      <w:r>
        <w:rPr>
          <w:rFonts w:hint="eastAsia" w:ascii="Times New Roman" w:hAnsi="Times New Roman" w:cs="Times New Roman" w:eastAsiaTheme="majorEastAsia"/>
          <w:b/>
          <w:bCs/>
          <w:sz w:val="24"/>
          <w:lang w:eastAsia="zh-CN"/>
        </w:rPr>
        <w:t>年江苏泰国双边货物贸易情况</w:t>
      </w:r>
    </w:p>
    <w:bookmarkEnd w:id="1"/>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江苏出口至泰国的主要产品为</w:t>
      </w:r>
      <w:bookmarkStart w:id="2" w:name="OLE_LINK16"/>
      <w:r>
        <w:rPr>
          <w:rFonts w:hint="default" w:ascii="Times New Roman" w:hAnsi="Times New Roman" w:eastAsia="方正仿宋_GBK" w:cs="Times New Roman"/>
          <w:sz w:val="32"/>
          <w:szCs w:val="32"/>
          <w:lang w:eastAsia="zh-CN"/>
        </w:rPr>
        <w:t>机械器具、贱金属、化学产品、塑料橡胶、运输设备、纺织原料</w:t>
      </w:r>
      <w:bookmarkEnd w:id="2"/>
      <w:r>
        <w:rPr>
          <w:rFonts w:hint="default" w:ascii="Times New Roman" w:hAnsi="Times New Roman" w:eastAsia="方正仿宋_GBK" w:cs="Times New Roman"/>
          <w:sz w:val="32"/>
          <w:szCs w:val="32"/>
          <w:lang w:eastAsia="zh-CN"/>
        </w:rPr>
        <w:t>，</w:t>
      </w:r>
      <w:bookmarkStart w:id="3" w:name="OLE_LINK2"/>
      <w:r>
        <w:rPr>
          <w:rFonts w:hint="default" w:ascii="Times New Roman" w:hAnsi="Times New Roman" w:eastAsia="方正仿宋_GBK" w:cs="Times New Roman"/>
          <w:sz w:val="32"/>
          <w:szCs w:val="32"/>
          <w:lang w:val="en-US" w:eastAsia="zh-CN"/>
        </w:rPr>
        <w:t>2025年分别占江苏对泰国出口</w:t>
      </w:r>
      <w:r>
        <w:rPr>
          <w:rFonts w:hint="eastAsia" w:ascii="Times New Roman" w:hAnsi="Times New Roman" w:eastAsia="方正仿宋_GBK" w:cs="Times New Roman"/>
          <w:sz w:val="32"/>
          <w:szCs w:val="32"/>
          <w:lang w:val="en-US" w:eastAsia="zh-CN"/>
        </w:rPr>
        <w:t>总额</w:t>
      </w:r>
      <w:r>
        <w:rPr>
          <w:rFonts w:hint="default" w:ascii="Times New Roman" w:hAnsi="Times New Roman" w:eastAsia="方正仿宋_GBK" w:cs="Times New Roman"/>
          <w:sz w:val="32"/>
          <w:szCs w:val="32"/>
          <w:lang w:val="en-US" w:eastAsia="zh-CN"/>
        </w:rPr>
        <w:t>的61%、12.1%、5.2%、4.8%、3.8%、3.3%。</w:t>
      </w:r>
      <w:bookmarkEnd w:id="3"/>
      <w:r>
        <w:rPr>
          <w:rFonts w:hint="default" w:ascii="Times New Roman" w:hAnsi="Times New Roman" w:eastAsia="方正仿宋_GBK" w:cs="Times New Roman"/>
          <w:sz w:val="32"/>
          <w:szCs w:val="32"/>
          <w:lang w:val="en-US" w:eastAsia="zh-CN"/>
        </w:rPr>
        <w:t>江苏自泰国进口的主要产品为</w:t>
      </w:r>
      <w:r>
        <w:rPr>
          <w:rFonts w:hint="default" w:ascii="Times New Roman" w:hAnsi="Times New Roman" w:eastAsia="方正仿宋_GBK" w:cs="Times New Roman"/>
          <w:sz w:val="32"/>
          <w:szCs w:val="32"/>
          <w:lang w:eastAsia="zh-CN"/>
        </w:rPr>
        <w:t>机械器具、塑料橡胶、化学产品、植物产品、仪器仪表、纺织原料</w:t>
      </w:r>
      <w:r>
        <w:rPr>
          <w:rFonts w:hint="default" w:ascii="Times New Roman" w:hAnsi="Times New Roman" w:eastAsia="方正仿宋_GBK" w:cs="Times New Roman"/>
          <w:sz w:val="32"/>
          <w:szCs w:val="32"/>
          <w:lang w:val="en-US" w:eastAsia="zh-CN"/>
        </w:rPr>
        <w:t>，2025年分别占江苏自泰国进口总额</w:t>
      </w:r>
      <w:r>
        <w:rPr>
          <w:rFonts w:hint="eastAsia" w:ascii="Times New Roman" w:hAnsi="Times New Roman" w:eastAsia="方正仿宋_GBK" w:cs="Times New Roman"/>
          <w:sz w:val="32"/>
          <w:szCs w:val="32"/>
          <w:lang w:val="en-US" w:eastAsia="zh-CN"/>
        </w:rPr>
        <w:t>的</w:t>
      </w:r>
      <w:r>
        <w:rPr>
          <w:rFonts w:hint="default" w:ascii="Times New Roman" w:hAnsi="Times New Roman" w:eastAsia="方正仿宋_GBK" w:cs="Times New Roman"/>
          <w:sz w:val="32"/>
          <w:szCs w:val="32"/>
          <w:lang w:val="en-US" w:eastAsia="zh-CN"/>
        </w:rPr>
        <w:t>55.8%、12.4%、5.8%、5.6%、5%、3.5%。</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firstLine="640" w:firstLineChars="200"/>
        <w:textAlignment w:val="auto"/>
        <w:outlineLvl w:val="9"/>
        <w:rPr>
          <w:rFonts w:hint="eastAsia" w:ascii="方正楷体_GBK" w:hAnsi="方正楷体_GBK" w:eastAsia="方正楷体_GBK" w:cs="方正楷体_GBK"/>
          <w:sz w:val="32"/>
          <w:szCs w:val="32"/>
          <w:lang w:val="en-US" w:eastAsia="zh-CN"/>
        </w:rPr>
      </w:pPr>
      <w:bookmarkStart w:id="4" w:name="OLE_LINK5"/>
      <w:r>
        <w:rPr>
          <w:rFonts w:hint="eastAsia" w:ascii="方正楷体_GBK" w:hAnsi="方正楷体_GBK" w:eastAsia="方正楷体_GBK" w:cs="方正楷体_GBK"/>
          <w:sz w:val="32"/>
          <w:szCs w:val="32"/>
          <w:lang w:val="en-US" w:eastAsia="zh-CN"/>
        </w:rPr>
        <w:t>（二）对泰投资</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截至2025年底，泰国</w:t>
      </w:r>
      <w:bookmarkStart w:id="5" w:name="OLE_LINK6"/>
      <w:r>
        <w:rPr>
          <w:rFonts w:hint="default" w:ascii="Times New Roman" w:hAnsi="Times New Roman" w:eastAsia="方正仿宋_GBK" w:cs="Times New Roman"/>
          <w:sz w:val="32"/>
          <w:szCs w:val="32"/>
          <w:lang w:val="en-US" w:eastAsia="zh-CN"/>
        </w:rPr>
        <w:t>投资促进委员会</w:t>
      </w:r>
      <w:bookmarkEnd w:id="5"/>
      <w:r>
        <w:rPr>
          <w:rFonts w:hint="default" w:ascii="Times New Roman" w:hAnsi="Times New Roman" w:eastAsia="方正仿宋_GBK" w:cs="Times New Roman"/>
          <w:sz w:val="32"/>
          <w:szCs w:val="32"/>
          <w:lang w:val="en-US" w:eastAsia="zh-CN"/>
        </w:rPr>
        <w:t>批准的外商直接投资总额为1.14万亿泰铢，涵盖2259个项目。新加坡、中国香港和中国大陆位居投资来源地前列，其中，中国大陆的项目数量最多，达984个。“十四五”期间，江苏对泰国投资总体呈上升趋势，2025年，江苏对泰国投资新批项目数为215个，同比下降28%，占江苏对外投资新批项目总数比重为13.5%，远高于2021年的1.5%；对泰国中方协议投资14.4亿美元，同比下降16.7%，占江苏对外投资中方协议投资总额比重为15.6%，远高于2021年的5.6%。</w:t>
      </w:r>
    </w:p>
    <w:bookmarkEnd w:id="4"/>
    <w:p>
      <w:pPr>
        <w:numPr>
          <w:ilvl w:val="0"/>
          <w:numId w:val="0"/>
        </w:numPr>
        <w:rPr>
          <w:rFonts w:hint="eastAsia" w:ascii="方正黑体_GBK" w:hAnsi="方正黑体_GBK" w:eastAsia="方正黑体_GBK" w:cs="方正黑体_GBK"/>
          <w:sz w:val="32"/>
          <w:szCs w:val="32"/>
          <w:lang w:val="en-US" w:eastAsia="zh-CN"/>
        </w:rPr>
      </w:pPr>
      <w:r>
        <w:drawing>
          <wp:inline distT="0" distB="0" distL="114300" distR="114300">
            <wp:extent cx="5273040" cy="2592070"/>
            <wp:effectExtent l="4445" t="4445" r="18415" b="13335"/>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outlineLvl w:val="9"/>
        <w:rPr>
          <w:rFonts w:hint="eastAsia" w:ascii="Times New Roman" w:hAnsi="Times New Roman" w:cs="Times New Roman" w:eastAsiaTheme="majorEastAsia"/>
          <w:b/>
          <w:bCs/>
          <w:sz w:val="24"/>
          <w:lang w:val="en-US" w:eastAsia="zh-CN"/>
        </w:rPr>
      </w:pPr>
      <w:bookmarkStart w:id="6" w:name="OLE_LINK4"/>
      <w:r>
        <w:rPr>
          <w:rFonts w:hint="eastAsia" w:ascii="Times New Roman" w:hAnsi="Times New Roman" w:cs="Times New Roman" w:eastAsiaTheme="majorEastAsia"/>
          <w:b/>
          <w:bCs/>
          <w:sz w:val="24"/>
          <w:lang w:eastAsia="zh-CN"/>
        </w:rPr>
        <w:t>图</w:t>
      </w:r>
      <w:r>
        <w:rPr>
          <w:rFonts w:hint="eastAsia" w:ascii="Times New Roman" w:hAnsi="Times New Roman" w:cs="Times New Roman" w:eastAsiaTheme="majorEastAsia"/>
          <w:b/>
          <w:bCs/>
          <w:sz w:val="24"/>
          <w:lang w:val="en-US" w:eastAsia="zh-CN"/>
        </w:rPr>
        <w:t xml:space="preserve">2 </w:t>
      </w:r>
      <w:r>
        <w:rPr>
          <w:rFonts w:hint="eastAsia" w:ascii="Times New Roman" w:hAnsi="Times New Roman" w:cs="Times New Roman" w:eastAsiaTheme="majorEastAsia"/>
          <w:b/>
          <w:bCs/>
          <w:sz w:val="24"/>
          <w:lang w:eastAsia="zh-CN"/>
        </w:rPr>
        <w:t xml:space="preserve"> </w:t>
      </w:r>
      <w:r>
        <w:rPr>
          <w:rFonts w:hint="eastAsia" w:ascii="Times New Roman" w:hAnsi="Times New Roman" w:cs="Times New Roman" w:eastAsiaTheme="majorEastAsia"/>
          <w:b/>
          <w:bCs/>
          <w:sz w:val="24"/>
          <w:lang w:val="en-US" w:eastAsia="zh-CN"/>
        </w:rPr>
        <w:t>2021—2025年江苏对泰国直接投资情况</w:t>
      </w:r>
      <w:bookmarkEnd w:id="6"/>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二、</w:t>
      </w:r>
      <w:r>
        <w:rPr>
          <w:rFonts w:hint="eastAsia" w:ascii="方正黑体_GBK" w:hAnsi="方正黑体_GBK" w:eastAsia="方正黑体_GBK" w:cs="方正黑体_GBK"/>
          <w:sz w:val="32"/>
          <w:szCs w:val="32"/>
        </w:rPr>
        <w:t>自贸区网络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截至2026年8月</w:t>
      </w:r>
      <w:r>
        <w:rPr>
          <w:rFonts w:hint="default" w:ascii="Times New Roman" w:hAnsi="Times New Roman" w:eastAsia="方正仿宋_GBK" w:cs="Times New Roman"/>
          <w:sz w:val="32"/>
          <w:szCs w:val="32"/>
          <w:lang w:eastAsia="zh-CN"/>
        </w:rPr>
        <w:t>，泰国</w:t>
      </w:r>
      <w:r>
        <w:rPr>
          <w:rFonts w:hint="default" w:ascii="Times New Roman" w:hAnsi="Times New Roman" w:eastAsia="方正仿宋_GBK" w:cs="Times New Roman"/>
          <w:sz w:val="32"/>
          <w:szCs w:val="32"/>
        </w:rPr>
        <w:t>签</w:t>
      </w:r>
      <w:r>
        <w:rPr>
          <w:rFonts w:hint="eastAsia" w:ascii="Times New Roman" w:hAnsi="Times New Roman" w:eastAsia="方正仿宋_GBK" w:cs="Times New Roman"/>
          <w:sz w:val="32"/>
          <w:szCs w:val="32"/>
          <w:lang w:eastAsia="zh-CN"/>
        </w:rPr>
        <w:t>订</w:t>
      </w:r>
      <w:r>
        <w:rPr>
          <w:rFonts w:hint="default" w:ascii="Times New Roman" w:hAnsi="Times New Roman" w:eastAsia="方正仿宋_GBK" w:cs="Times New Roman"/>
          <w:sz w:val="32"/>
          <w:szCs w:val="32"/>
        </w:rPr>
        <w:t>了17项多双边自贸协定</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FTA</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，涉及24个国家</w:t>
      </w:r>
      <w:r>
        <w:rPr>
          <w:rFonts w:hint="eastAsia" w:ascii="Times New Roman" w:hAnsi="Times New Roman" w:eastAsia="方正仿宋_GBK" w:cs="Times New Roman"/>
          <w:sz w:val="32"/>
          <w:szCs w:val="32"/>
          <w:lang w:eastAsia="zh-CN"/>
        </w:rPr>
        <w:t>（地区）</w:t>
      </w:r>
      <w:r>
        <w:rPr>
          <w:rFonts w:hint="default" w:ascii="Times New Roman" w:hAnsi="Times New Roman" w:eastAsia="方正仿宋_GBK" w:cs="Times New Roman"/>
          <w:sz w:val="32"/>
          <w:szCs w:val="32"/>
        </w:rPr>
        <w:t>。此外，</w:t>
      </w:r>
      <w:r>
        <w:rPr>
          <w:rFonts w:hint="default" w:ascii="Times New Roman" w:hAnsi="Times New Roman" w:eastAsia="方正仿宋_GBK" w:cs="Times New Roman"/>
          <w:sz w:val="32"/>
          <w:szCs w:val="32"/>
          <w:lang w:eastAsia="zh-CN"/>
        </w:rPr>
        <w:t>泰国</w:t>
      </w:r>
      <w:r>
        <w:rPr>
          <w:rFonts w:hint="default" w:ascii="Times New Roman" w:hAnsi="Times New Roman" w:eastAsia="方正仿宋_GBK" w:cs="Times New Roman"/>
          <w:sz w:val="32"/>
          <w:szCs w:val="32"/>
        </w:rPr>
        <w:t>正与欧盟进行自贸协定谈判</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2026年6月</w:t>
      </w:r>
      <w:r>
        <w:rPr>
          <w:rFonts w:hint="default" w:ascii="Times New Roman" w:hAnsi="Times New Roman" w:eastAsia="方正仿宋_GBK" w:cs="Times New Roman"/>
          <w:sz w:val="32"/>
          <w:szCs w:val="32"/>
        </w:rPr>
        <w:t>第九轮</w:t>
      </w:r>
      <w:r>
        <w:rPr>
          <w:rFonts w:hint="default" w:ascii="Times New Roman" w:hAnsi="Times New Roman" w:eastAsia="方正仿宋_GBK" w:cs="Times New Roman"/>
          <w:sz w:val="32"/>
          <w:szCs w:val="32"/>
          <w:lang w:eastAsia="zh-CN"/>
        </w:rPr>
        <w:t>谈判取得新突破。同时，泰国</w:t>
      </w:r>
      <w:r>
        <w:rPr>
          <w:rFonts w:hint="eastAsia" w:ascii="Times New Roman" w:hAnsi="Times New Roman" w:eastAsia="方正仿宋_GBK" w:cs="Times New Roman"/>
          <w:sz w:val="32"/>
          <w:szCs w:val="32"/>
          <w:lang w:eastAsia="zh-CN"/>
        </w:rPr>
        <w:t>还在</w:t>
      </w:r>
      <w:r>
        <w:rPr>
          <w:rFonts w:hint="default" w:ascii="Times New Roman" w:hAnsi="Times New Roman" w:eastAsia="方正仿宋_GBK" w:cs="Times New Roman"/>
          <w:sz w:val="32"/>
          <w:szCs w:val="32"/>
          <w:lang w:eastAsia="zh-CN"/>
        </w:rPr>
        <w:t>积极推动东盟-加拿大FTA谈判，</w:t>
      </w:r>
      <w:r>
        <w:rPr>
          <w:rFonts w:hint="eastAsia" w:ascii="Times New Roman" w:hAnsi="Times New Roman" w:eastAsia="方正仿宋_GBK" w:cs="Times New Roman"/>
          <w:sz w:val="32"/>
          <w:szCs w:val="32"/>
          <w:lang w:eastAsia="zh-CN"/>
        </w:rPr>
        <w:t>并</w:t>
      </w:r>
      <w:r>
        <w:rPr>
          <w:rFonts w:hint="default" w:ascii="Times New Roman" w:hAnsi="Times New Roman" w:eastAsia="方正仿宋_GBK" w:cs="Times New Roman"/>
          <w:sz w:val="32"/>
          <w:szCs w:val="32"/>
          <w:lang w:eastAsia="zh-CN"/>
        </w:rPr>
        <w:t>启动与加拿大的双边谈判。</w:t>
      </w:r>
      <w:r>
        <w:rPr>
          <w:rFonts w:hint="eastAsia" w:ascii="Times New Roman" w:hAnsi="Times New Roman" w:eastAsia="方正仿宋_GBK" w:cs="Times New Roman"/>
          <w:sz w:val="32"/>
          <w:szCs w:val="32"/>
          <w:lang w:eastAsia="zh-CN"/>
        </w:rPr>
        <w:t>泰国</w:t>
      </w:r>
      <w:r>
        <w:rPr>
          <w:rFonts w:hint="default" w:ascii="Times New Roman" w:hAnsi="Times New Roman" w:eastAsia="方正仿宋_GBK" w:cs="Times New Roman"/>
          <w:sz w:val="32"/>
          <w:szCs w:val="32"/>
        </w:rPr>
        <w:t>自贸伙伴</w:t>
      </w:r>
      <w:r>
        <w:rPr>
          <w:rFonts w:hint="eastAsia" w:ascii="Times New Roman" w:hAnsi="Times New Roman" w:eastAsia="方正仿宋_GBK" w:cs="Times New Roman"/>
          <w:sz w:val="32"/>
          <w:szCs w:val="32"/>
          <w:lang w:eastAsia="zh-CN"/>
        </w:rPr>
        <w:t>与我国重合度较高，有利于江苏企业充分利用自贸协定的原产地累积规则优化产供链布局，降低跨境经营成本。</w:t>
      </w:r>
    </w:p>
    <w:p>
      <w:pPr>
        <w:spacing w:after="0" w:line="240" w:lineRule="auto"/>
        <w:jc w:val="center"/>
        <w:rPr>
          <w:rFonts w:hint="eastAsia" w:ascii="Times New Roman" w:hAnsi="Times New Roman" w:eastAsia="方正小标宋_GBK" w:cs="Times New Roman"/>
          <w:sz w:val="28"/>
          <w:szCs w:val="28"/>
          <w:lang w:val="en-US" w:eastAsia="zh-CN"/>
        </w:rPr>
      </w:pPr>
      <w:r>
        <w:rPr>
          <w:rFonts w:hint="eastAsia" w:ascii="Times New Roman" w:hAnsi="Times New Roman" w:eastAsia="方正小标宋_GBK" w:cs="Times New Roman"/>
          <w:sz w:val="28"/>
          <w:szCs w:val="28"/>
          <w:lang w:eastAsia="zh-CN"/>
        </w:rPr>
        <w:t>表</w:t>
      </w:r>
      <w:r>
        <w:rPr>
          <w:rFonts w:hint="eastAsia" w:ascii="Times New Roman" w:hAnsi="Times New Roman" w:eastAsia="方正小标宋_GBK" w:cs="Times New Roman"/>
          <w:sz w:val="28"/>
          <w:szCs w:val="28"/>
          <w:lang w:val="en-US" w:eastAsia="zh-CN"/>
        </w:rPr>
        <w:t>1  中国和泰国双边自贸区网络情况</w:t>
      </w:r>
    </w:p>
    <w:tbl>
      <w:tblPr>
        <w:tblStyle w:val="12"/>
        <w:tblW w:w="9172" w:type="dxa"/>
        <w:tblInd w:w="-1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2"/>
        <w:gridCol w:w="2779"/>
        <w:gridCol w:w="1693"/>
        <w:gridCol w:w="4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12" w:type="dxa"/>
          </w:tcPr>
          <w:p>
            <w:pPr>
              <w:jc w:val="center"/>
              <w:rPr>
                <w:rFonts w:hint="eastAsia"/>
                <w:b/>
                <w:bCs/>
                <w:sz w:val="24"/>
                <w:szCs w:val="24"/>
                <w:vertAlign w:val="baseline"/>
              </w:rPr>
            </w:pPr>
          </w:p>
        </w:tc>
        <w:tc>
          <w:tcPr>
            <w:tcW w:w="2779" w:type="dxa"/>
          </w:tcPr>
          <w:p>
            <w:pPr>
              <w:jc w:val="center"/>
              <w:rPr>
                <w:rFonts w:hint="eastAsia" w:ascii="方正黑体_GBK" w:hAnsi="方正黑体_GBK" w:eastAsia="方正黑体_GBK" w:cs="方正黑体_GBK"/>
                <w:b w:val="0"/>
                <w:bCs w:val="0"/>
                <w:sz w:val="24"/>
                <w:szCs w:val="24"/>
                <w:vertAlign w:val="baseline"/>
                <w:lang w:eastAsia="zh-CN"/>
              </w:rPr>
            </w:pPr>
            <w:r>
              <w:rPr>
                <w:rFonts w:hint="eastAsia" w:ascii="方正黑体_GBK" w:hAnsi="方正黑体_GBK" w:eastAsia="方正黑体_GBK" w:cs="方正黑体_GBK"/>
                <w:b w:val="0"/>
                <w:bCs w:val="0"/>
                <w:sz w:val="24"/>
                <w:szCs w:val="24"/>
                <w:vertAlign w:val="baseline"/>
                <w:lang w:eastAsia="zh-CN"/>
              </w:rPr>
              <w:t>泰国</w:t>
            </w:r>
          </w:p>
        </w:tc>
        <w:tc>
          <w:tcPr>
            <w:tcW w:w="1693" w:type="dxa"/>
          </w:tcPr>
          <w:p>
            <w:pPr>
              <w:jc w:val="center"/>
              <w:rPr>
                <w:rFonts w:hint="eastAsia"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eastAsia="zh-CN"/>
              </w:rPr>
              <w:t>共同</w:t>
            </w:r>
            <w:r>
              <w:rPr>
                <w:rFonts w:hint="eastAsia" w:ascii="方正黑体_GBK" w:hAnsi="方正黑体_GBK" w:eastAsia="方正黑体_GBK" w:cs="方正黑体_GBK"/>
                <w:b w:val="0"/>
                <w:bCs w:val="0"/>
                <w:sz w:val="24"/>
                <w:szCs w:val="24"/>
                <w:vertAlign w:val="baseline"/>
                <w:lang w:val="en-US" w:eastAsia="zh-CN"/>
              </w:rPr>
              <w:t>/重合</w:t>
            </w:r>
          </w:p>
        </w:tc>
        <w:tc>
          <w:tcPr>
            <w:tcW w:w="4188" w:type="dxa"/>
          </w:tcPr>
          <w:p>
            <w:pPr>
              <w:jc w:val="center"/>
              <w:rPr>
                <w:rFonts w:hint="eastAsia" w:ascii="方正黑体_GBK" w:hAnsi="方正黑体_GBK" w:eastAsia="方正黑体_GBK" w:cs="方正黑体_GBK"/>
                <w:b w:val="0"/>
                <w:bCs w:val="0"/>
                <w:sz w:val="24"/>
                <w:szCs w:val="24"/>
                <w:vertAlign w:val="baseline"/>
                <w:lang w:eastAsia="zh-CN"/>
              </w:rPr>
            </w:pPr>
            <w:r>
              <w:rPr>
                <w:rFonts w:hint="eastAsia" w:ascii="方正黑体_GBK" w:hAnsi="方正黑体_GBK" w:eastAsia="方正黑体_GBK" w:cs="方正黑体_GBK"/>
                <w:b w:val="0"/>
                <w:bCs w:val="0"/>
                <w:sz w:val="24"/>
                <w:szCs w:val="24"/>
                <w:vertAlign w:val="baseline"/>
                <w:lang w:eastAsia="zh-CN"/>
              </w:rPr>
              <w:t>中国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2" w:hRule="atLeast"/>
        </w:trPr>
        <w:tc>
          <w:tcPr>
            <w:tcW w:w="512" w:type="dxa"/>
          </w:tcPr>
          <w:p>
            <w:pPr>
              <w:rPr>
                <w:rFonts w:hint="eastAsia" w:ascii="方正黑体_GBK" w:hAnsi="方正黑体_GBK" w:eastAsia="方正黑体_GBK" w:cs="方正黑体_GBK"/>
                <w:lang w:eastAsia="zh-CN"/>
              </w:rPr>
            </w:pPr>
            <w:r>
              <w:rPr>
                <w:rFonts w:hint="eastAsia" w:ascii="方正黑体_GBK" w:hAnsi="方正黑体_GBK" w:eastAsia="方正黑体_GBK" w:cs="方正黑体_GBK"/>
                <w:b w:val="0"/>
                <w:bCs w:val="0"/>
                <w:sz w:val="24"/>
                <w:szCs w:val="24"/>
                <w:vertAlign w:val="baseline"/>
                <w:lang w:eastAsia="zh-CN"/>
              </w:rPr>
              <w:t>自贸协定</w:t>
            </w:r>
          </w:p>
        </w:tc>
        <w:tc>
          <w:tcPr>
            <w:tcW w:w="2779" w:type="dxa"/>
            <w:vAlign w:val="center"/>
          </w:tcPr>
          <w:p>
            <w:pPr>
              <w:jc w:val="left"/>
              <w:rPr>
                <w:rFonts w:hint="default" w:ascii="Times New Roman" w:hAnsi="Times New Roman" w:eastAsia="方正仿宋_GBK" w:cs="Times New Roman"/>
              </w:rPr>
            </w:pPr>
            <w:r>
              <w:rPr>
                <w:rFonts w:hint="default" w:ascii="Times New Roman" w:hAnsi="Times New Roman" w:eastAsia="方正仿宋_GBK" w:cs="Times New Roman"/>
                <w:lang w:eastAsia="zh-CN"/>
              </w:rPr>
              <w:t>泰国</w:t>
            </w:r>
            <w:r>
              <w:rPr>
                <w:rFonts w:hint="default" w:ascii="Times New Roman" w:hAnsi="Times New Roman" w:eastAsia="方正仿宋_GBK" w:cs="Times New Roman"/>
                <w:lang w:val="en-US" w:eastAsia="zh-CN"/>
              </w:rPr>
              <w:t>-斯里兰卡FTA（已签未生效）、泰国-不丹FTA（已签未生效）</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泰国-日本EPA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泰国-澳大利亚FTA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泰国-新西兰FTA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泰国-印度EHP</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泰国-智利FTA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泰国-秘鲁EHP</w:t>
            </w:r>
            <w:r>
              <w:rPr>
                <w:rFonts w:hint="default" w:ascii="Times New Roman" w:hAnsi="Times New Roman" w:eastAsia="方正仿宋_GBK" w:cs="Times New Roman"/>
                <w:lang w:eastAsia="zh-CN"/>
              </w:rPr>
              <w:t>、泰国-欧洲自由贸易联盟</w:t>
            </w:r>
            <w:r>
              <w:rPr>
                <w:rFonts w:hint="default" w:ascii="Times New Roman" w:hAnsi="Times New Roman" w:eastAsia="方正仿宋_GBK" w:cs="Times New Roman"/>
                <w:lang w:val="en-US" w:eastAsia="zh-CN"/>
              </w:rPr>
              <w:t>FTA、</w:t>
            </w:r>
            <w:r>
              <w:rPr>
                <w:rFonts w:hint="default" w:ascii="Times New Roman" w:hAnsi="Times New Roman" w:eastAsia="方正仿宋_GBK" w:cs="Times New Roman"/>
                <w:lang w:eastAsia="zh-CN"/>
              </w:rPr>
              <w:t>东</w:t>
            </w:r>
            <w:r>
              <w:rPr>
                <w:rFonts w:hint="default" w:ascii="Times New Roman" w:hAnsi="Times New Roman" w:eastAsia="方正仿宋_GBK" w:cs="Times New Roman"/>
              </w:rPr>
              <w:t>盟-香港FTA</w:t>
            </w:r>
            <w:r>
              <w:rPr>
                <w:rFonts w:hint="default" w:ascii="Times New Roman" w:hAnsi="Times New Roman" w:eastAsia="方正仿宋_GBK" w:cs="Times New Roman"/>
                <w:lang w:eastAsia="zh-CN"/>
              </w:rPr>
              <w:t>、东盟</w:t>
            </w:r>
            <w:r>
              <w:rPr>
                <w:rFonts w:hint="default" w:ascii="Times New Roman" w:hAnsi="Times New Roman" w:eastAsia="方正仿宋_GBK" w:cs="Times New Roman"/>
              </w:rPr>
              <w:t>-</w:t>
            </w:r>
            <w:r>
              <w:rPr>
                <w:rFonts w:hint="default" w:ascii="Times New Roman" w:hAnsi="Times New Roman" w:eastAsia="方正仿宋_GBK" w:cs="Times New Roman"/>
                <w:lang w:eastAsia="zh-CN"/>
              </w:rPr>
              <w:t>澳大利亚</w:t>
            </w:r>
            <w:r>
              <w:rPr>
                <w:rFonts w:hint="default" w:ascii="Times New Roman" w:hAnsi="Times New Roman" w:eastAsia="方正仿宋_GBK" w:cs="Times New Roman"/>
              </w:rPr>
              <w:t>-</w:t>
            </w:r>
            <w:r>
              <w:rPr>
                <w:rFonts w:hint="default" w:ascii="Times New Roman" w:hAnsi="Times New Roman" w:eastAsia="方正仿宋_GBK" w:cs="Times New Roman"/>
                <w:lang w:eastAsia="zh-CN"/>
              </w:rPr>
              <w:t>新西兰FTA、东盟-印度FTA、东盟-韩国</w:t>
            </w:r>
            <w:r>
              <w:rPr>
                <w:rFonts w:hint="default" w:ascii="Times New Roman" w:hAnsi="Times New Roman" w:eastAsia="方正仿宋_GBK" w:cs="Times New Roman"/>
              </w:rPr>
              <w:t>CECA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东盟-日本EPA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东盟</w:t>
            </w:r>
            <w:r>
              <w:rPr>
                <w:rFonts w:hint="eastAsia" w:ascii="Times New Roman" w:hAnsi="Times New Roman" w:eastAsia="方正仿宋_GBK" w:cs="Times New Roman"/>
                <w:lang w:eastAsia="zh-CN"/>
              </w:rPr>
              <w:t>自由贸易区</w:t>
            </w:r>
            <w:r>
              <w:rPr>
                <w:rFonts w:hint="default" w:ascii="Times New Roman" w:hAnsi="Times New Roman" w:eastAsia="方正仿宋_GBK" w:cs="Times New Roman"/>
              </w:rPr>
              <w:t>（AFTA</w:t>
            </w:r>
            <w:r>
              <w:rPr>
                <w:rFonts w:hint="eastAsia" w:ascii="Times New Roman" w:hAnsi="Times New Roman" w:eastAsia="方正仿宋_GBK" w:cs="Times New Roman"/>
                <w:lang w:eastAsia="zh-CN"/>
              </w:rPr>
              <w:t>）</w:t>
            </w:r>
          </w:p>
        </w:tc>
        <w:tc>
          <w:tcPr>
            <w:tcW w:w="1693" w:type="dxa"/>
            <w:vAlign w:val="center"/>
          </w:tcPr>
          <w:p>
            <w:pPr>
              <w:jc w:val="left"/>
              <w:rPr>
                <w:rFonts w:hint="default" w:ascii="Times New Roman" w:hAnsi="Times New Roman" w:eastAsia="方正仿宋_GBK" w:cs="Times New Roman"/>
                <w:lang w:eastAsia="zh-CN"/>
              </w:rPr>
            </w:pPr>
            <w:r>
              <w:rPr>
                <w:rFonts w:hint="default" w:ascii="Times New Roman" w:hAnsi="Times New Roman" w:eastAsia="方正仿宋_GBK" w:cs="Times New Roman"/>
              </w:rPr>
              <w:t>区域全面经济伙伴关系协定</w:t>
            </w:r>
            <w:r>
              <w:rPr>
                <w:rFonts w:hint="default" w:ascii="Times New Roman" w:hAnsi="Times New Roman" w:eastAsia="方正仿宋_GBK" w:cs="Times New Roman"/>
                <w:lang w:eastAsia="zh-CN"/>
              </w:rPr>
              <w:t>（</w:t>
            </w:r>
            <w:r>
              <w:rPr>
                <w:rFonts w:hint="default" w:ascii="Times New Roman" w:hAnsi="Times New Roman" w:eastAsia="方正仿宋_GBK" w:cs="Times New Roman"/>
                <w:lang w:val="en-US" w:eastAsia="zh-CN"/>
              </w:rPr>
              <w:t>RCEP</w:t>
            </w:r>
            <w:r>
              <w:rPr>
                <w:rFonts w:hint="default" w:ascii="Times New Roman" w:hAnsi="Times New Roman" w:eastAsia="方正仿宋_GBK" w:cs="Times New Roman"/>
                <w:lang w:eastAsia="zh-CN"/>
              </w:rPr>
              <w:t>）；中国</w:t>
            </w:r>
            <w:r>
              <w:rPr>
                <w:rFonts w:hint="default" w:ascii="Times New Roman" w:hAnsi="Times New Roman" w:eastAsia="方正仿宋_GBK" w:cs="Times New Roman"/>
                <w:lang w:val="en-US" w:eastAsia="zh-CN"/>
              </w:rPr>
              <w:t>-</w:t>
            </w:r>
            <w:r>
              <w:rPr>
                <w:rFonts w:hint="default" w:ascii="Times New Roman" w:hAnsi="Times New Roman" w:eastAsia="方正仿宋_GBK" w:cs="Times New Roman"/>
              </w:rPr>
              <w:t>东盟</w:t>
            </w:r>
            <w:r>
              <w:rPr>
                <w:rFonts w:hint="default" w:ascii="Times New Roman" w:hAnsi="Times New Roman" w:eastAsia="方正仿宋_GBK" w:cs="Times New Roman"/>
                <w:lang w:val="en-US" w:eastAsia="zh-CN"/>
              </w:rPr>
              <w:t>FTA</w:t>
            </w:r>
          </w:p>
        </w:tc>
        <w:tc>
          <w:tcPr>
            <w:tcW w:w="4188" w:type="dxa"/>
            <w:vAlign w:val="center"/>
          </w:tcPr>
          <w:p>
            <w:pPr>
              <w:jc w:val="left"/>
              <w:rPr>
                <w:rFonts w:hint="default" w:ascii="Times New Roman" w:hAnsi="Times New Roman" w:eastAsia="方正仿宋_GBK" w:cs="Times New Roman"/>
                <w:sz w:val="24"/>
                <w:szCs w:val="24"/>
                <w:vertAlign w:val="baseline"/>
                <w:lang w:eastAsia="zh-CN"/>
              </w:rPr>
            </w:pPr>
            <w:r>
              <w:rPr>
                <w:rFonts w:hint="default" w:ascii="Times New Roman" w:hAnsi="Times New Roman" w:eastAsia="方正仿宋_GBK" w:cs="Times New Roman"/>
              </w:rPr>
              <w:t>中国-刚果</w:t>
            </w:r>
            <w:r>
              <w:rPr>
                <w:rFonts w:hint="eastAsia" w:ascii="Times New Roman" w:hAnsi="Times New Roman" w:eastAsia="方正仿宋_GBK" w:cs="Times New Roman"/>
                <w:lang w:eastAsia="zh-CN"/>
              </w:rPr>
              <w:t>（布）</w:t>
            </w:r>
            <w:r>
              <w:rPr>
                <w:rFonts w:hint="default" w:ascii="Times New Roman" w:hAnsi="Times New Roman" w:eastAsia="方正仿宋_GBK" w:cs="Times New Roman"/>
              </w:rPr>
              <w:t>EHP</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中国-马尔代夫</w:t>
            </w:r>
            <w:r>
              <w:rPr>
                <w:rFonts w:hint="default" w:ascii="Times New Roman" w:hAnsi="Times New Roman" w:eastAsia="方正仿宋_GBK" w:cs="Times New Roman"/>
                <w:lang w:val="en-US" w:eastAsia="zh-CN"/>
              </w:rPr>
              <w:t>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中国-洪都拉斯EHP</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中国-厄瓜多尔FTA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中国-尼加拉瓜FTA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中国-塞尔维亚FTA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中国-柬埔寨FTA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中国-毛里求斯FTA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中国-格鲁吉亚FTA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中国-澳大利亚FTA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中国-韩国FTA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中国-冰岛FTA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中国-瑞士FTA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中国-哥斯达黎加FTA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中国-秘鲁FTA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中国-新加坡FTA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中国-新西兰FTA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中国-巴基斯坦FTA</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中国-智利FTA</w:t>
            </w:r>
            <w:r>
              <w:rPr>
                <w:rFonts w:hint="default" w:ascii="Times New Roman" w:hAnsi="Times New Roman" w:eastAsia="方正仿宋_GBK" w:cs="Times New Roman"/>
                <w:lang w:eastAsia="zh-CN"/>
              </w:rPr>
              <w:t>、内地与香港关于建立更紧密经贸关系的安</w:t>
            </w: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CEPA</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、内地与澳门关于建立更紧密经贸关系的安排</w:t>
            </w: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CEPA</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、海峡两岸经济合作框架协议（</w:t>
            </w:r>
            <w:r>
              <w:rPr>
                <w:rFonts w:hint="default" w:ascii="Times New Roman" w:hAnsi="Times New Roman" w:eastAsia="方正仿宋_GBK" w:cs="Times New Roman"/>
                <w:lang w:val="en-US" w:eastAsia="zh-CN"/>
              </w:rPr>
              <w:t>ECFA</w:t>
            </w:r>
            <w:r>
              <w:rPr>
                <w:rFonts w:hint="default" w:ascii="Times New Roman" w:hAnsi="Times New Roman" w:eastAsia="方正仿宋_GBK" w:cs="Times New Roman"/>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12" w:type="dxa"/>
          </w:tcPr>
          <w:p>
            <w:pPr>
              <w:rPr>
                <w:rFonts w:hint="eastAsia" w:ascii="方正黑体_GBK" w:hAnsi="方正黑体_GBK" w:eastAsia="方正黑体_GBK" w:cs="方正黑体_GBK"/>
                <w:b w:val="0"/>
                <w:bCs w:val="0"/>
                <w:sz w:val="24"/>
                <w:szCs w:val="24"/>
                <w:vertAlign w:val="baseline"/>
                <w:lang w:eastAsia="zh-CN"/>
              </w:rPr>
            </w:pPr>
            <w:r>
              <w:rPr>
                <w:rFonts w:hint="eastAsia" w:ascii="方正黑体_GBK" w:hAnsi="方正黑体_GBK" w:eastAsia="方正黑体_GBK" w:cs="方正黑体_GBK"/>
                <w:b w:val="0"/>
                <w:bCs w:val="0"/>
                <w:sz w:val="24"/>
                <w:szCs w:val="24"/>
                <w:vertAlign w:val="baseline"/>
                <w:lang w:eastAsia="zh-CN"/>
              </w:rPr>
              <w:t>自贸伙伴</w:t>
            </w:r>
          </w:p>
        </w:tc>
        <w:tc>
          <w:tcPr>
            <w:tcW w:w="2779" w:type="dxa"/>
            <w:vAlign w:val="center"/>
          </w:tcPr>
          <w:p>
            <w:pPr>
              <w:jc w:val="left"/>
              <w:rPr>
                <w:rFonts w:hint="default" w:ascii="Times New Roman" w:hAnsi="Times New Roman" w:eastAsia="方正仿宋_GBK" w:cs="Times New Roman"/>
                <w:lang w:eastAsia="zh-CN"/>
              </w:rPr>
            </w:pPr>
            <w:r>
              <w:rPr>
                <w:rFonts w:hint="eastAsia" w:ascii="Times New Roman" w:hAnsi="Times New Roman" w:eastAsia="方正仿宋_GBK" w:cs="Times New Roman"/>
                <w:lang w:eastAsia="zh-CN"/>
              </w:rPr>
              <w:t>斯里兰卡、印度、</w:t>
            </w:r>
            <w:r>
              <w:rPr>
                <w:rFonts w:hint="default" w:ascii="Times New Roman" w:hAnsi="Times New Roman" w:eastAsia="方正仿宋_GBK" w:cs="Times New Roman"/>
                <w:lang w:eastAsia="zh-CN"/>
              </w:rPr>
              <w:t>不丹、</w:t>
            </w:r>
            <w:bookmarkStart w:id="7" w:name="OLE_LINK7"/>
            <w:r>
              <w:rPr>
                <w:rFonts w:hint="default" w:ascii="Times New Roman" w:hAnsi="Times New Roman" w:eastAsia="方正仿宋_GBK" w:cs="Times New Roman"/>
                <w:lang w:eastAsia="zh-CN"/>
              </w:rPr>
              <w:t>挪威、列支敦士登</w:t>
            </w:r>
            <w:bookmarkEnd w:id="7"/>
          </w:p>
        </w:tc>
        <w:tc>
          <w:tcPr>
            <w:tcW w:w="1693" w:type="dxa"/>
            <w:vAlign w:val="center"/>
          </w:tcPr>
          <w:p>
            <w:pPr>
              <w:jc w:val="left"/>
              <w:rPr>
                <w:rFonts w:hint="default" w:ascii="Times New Roman" w:hAnsi="Times New Roman" w:eastAsia="方正仿宋_GBK" w:cs="Times New Roman"/>
                <w:lang w:eastAsia="zh-CN"/>
              </w:rPr>
            </w:pPr>
            <w:r>
              <w:rPr>
                <w:rFonts w:hint="default" w:ascii="Times New Roman" w:hAnsi="Times New Roman" w:eastAsia="方正仿宋_GBK" w:cs="Times New Roman"/>
                <w:lang w:eastAsia="zh-CN"/>
              </w:rPr>
              <w:t>日本、韩国、澳大利亚、新西兰、智利、</w:t>
            </w:r>
            <w:r>
              <w:rPr>
                <w:rFonts w:hint="eastAsia" w:ascii="Times New Roman" w:hAnsi="Times New Roman" w:eastAsia="方正仿宋_GBK" w:cs="Times New Roman"/>
                <w:lang w:eastAsia="zh-CN"/>
              </w:rPr>
              <w:t>瑞士、冰岛、</w:t>
            </w:r>
            <w:r>
              <w:rPr>
                <w:rFonts w:hint="default" w:ascii="Times New Roman" w:hAnsi="Times New Roman" w:eastAsia="方正仿宋_GBK" w:cs="Times New Roman"/>
                <w:lang w:eastAsia="zh-CN"/>
              </w:rPr>
              <w:t>中国香港、秘鲁、</w:t>
            </w:r>
            <w:r>
              <w:rPr>
                <w:rFonts w:hint="default" w:ascii="Times New Roman" w:hAnsi="Times New Roman" w:eastAsia="方正仿宋_GBK" w:cs="Times New Roman"/>
                <w:lang w:val="en-US" w:eastAsia="zh-CN"/>
              </w:rPr>
              <w:t>文莱、柬埔寨、印度尼西亚、老挝、马来西亚、缅甸、菲律宾、新加坡、越南</w:t>
            </w:r>
          </w:p>
        </w:tc>
        <w:tc>
          <w:tcPr>
            <w:tcW w:w="4188" w:type="dxa"/>
            <w:vAlign w:val="center"/>
          </w:tcPr>
          <w:p>
            <w:pPr>
              <w:jc w:val="left"/>
              <w:rPr>
                <w:rFonts w:hint="default" w:ascii="Times New Roman" w:hAnsi="Times New Roman" w:eastAsia="方正仿宋_GBK" w:cs="Times New Roman"/>
              </w:rPr>
            </w:pPr>
            <w:r>
              <w:rPr>
                <w:rFonts w:hint="default" w:ascii="Times New Roman" w:hAnsi="Times New Roman" w:eastAsia="方正仿宋_GBK" w:cs="Times New Roman"/>
              </w:rPr>
              <w:t>刚果</w:t>
            </w:r>
            <w:r>
              <w:rPr>
                <w:rFonts w:hint="default" w:ascii="Times New Roman" w:hAnsi="Times New Roman" w:eastAsia="方正仿宋_GBK" w:cs="Times New Roman"/>
                <w:lang w:eastAsia="zh-CN"/>
              </w:rPr>
              <w:t>（布）、</w:t>
            </w:r>
            <w:r>
              <w:rPr>
                <w:rFonts w:hint="default" w:ascii="Times New Roman" w:hAnsi="Times New Roman" w:eastAsia="方正仿宋_GBK" w:cs="Times New Roman"/>
              </w:rPr>
              <w:t>马尔代夫</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洪都拉斯</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厄瓜多尔</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尼加拉瓜</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塞尔维亚</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毛里求斯</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格鲁吉亚</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哥斯达黎加</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巴基斯坦</w:t>
            </w:r>
            <w:r>
              <w:rPr>
                <w:rFonts w:hint="default" w:ascii="Times New Roman" w:hAnsi="Times New Roman" w:eastAsia="方正仿宋_GBK" w:cs="Times New Roman"/>
                <w:lang w:eastAsia="zh-CN"/>
              </w:rPr>
              <w:t>、中国</w:t>
            </w:r>
            <w:r>
              <w:rPr>
                <w:rFonts w:hint="default" w:ascii="Times New Roman" w:hAnsi="Times New Roman" w:eastAsia="方正仿宋_GBK" w:cs="Times New Roman"/>
              </w:rPr>
              <w:t>澳门</w:t>
            </w:r>
            <w:r>
              <w:rPr>
                <w:rFonts w:hint="default" w:ascii="Times New Roman" w:hAnsi="Times New Roman" w:eastAsia="方正仿宋_GBK" w:cs="Times New Roman"/>
                <w:lang w:eastAsia="zh-CN"/>
              </w:rPr>
              <w:t>、中国台湾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72" w:type="dxa"/>
            <w:gridSpan w:val="4"/>
          </w:tcPr>
          <w:p>
            <w:pPr>
              <w:rPr>
                <w:rFonts w:hint="default" w:ascii="Times New Roman" w:hAnsi="Times New Roman" w:eastAsia="方正仿宋_GBK" w:cs="Times New Roman"/>
              </w:rPr>
            </w:pPr>
            <w:r>
              <w:rPr>
                <w:rFonts w:hint="default" w:ascii="Times New Roman" w:hAnsi="Times New Roman" w:eastAsia="方正仿宋_GBK" w:cs="Times New Roman"/>
              </w:rPr>
              <w:t>注释：</w:t>
            </w:r>
          </w:p>
          <w:p>
            <w:pPr>
              <w:numPr>
                <w:ilvl w:val="0"/>
                <w:numId w:val="0"/>
              </w:numPr>
              <w:rPr>
                <w:rFonts w:hint="default" w:ascii="Times New Roman" w:hAnsi="Times New Roman" w:eastAsia="方正仿宋_GBK" w:cs="Times New Roman"/>
              </w:rPr>
            </w:pPr>
            <w:r>
              <w:rPr>
                <w:rFonts w:hint="eastAsia" w:ascii="Times New Roman" w:hAnsi="Times New Roman" w:eastAsia="方正仿宋_GBK" w:cs="Times New Roman"/>
                <w:lang w:val="en-US" w:eastAsia="zh-CN"/>
              </w:rPr>
              <w:t>1.</w:t>
            </w:r>
            <w:r>
              <w:rPr>
                <w:rFonts w:hint="default" w:ascii="Times New Roman" w:hAnsi="Times New Roman" w:eastAsia="方正仿宋_GBK" w:cs="Times New Roman"/>
              </w:rPr>
              <w:t>中国还对外签署了1个优惠贸易安排《亚太贸易协定》，成员国包括中国、孟加拉国、印度、老挝、韩国、斯里兰卡和蒙古国。该协定不属于自贸协定，但符合其原产地规则的货物亦可享受协定优惠税率。</w:t>
            </w:r>
          </w:p>
          <w:p>
            <w:pPr>
              <w:numPr>
                <w:ilvl w:val="0"/>
                <w:numId w:val="0"/>
              </w:numPr>
              <w:rPr>
                <w:rFonts w:hint="default" w:ascii="Times New Roman" w:hAnsi="Times New Roman" w:eastAsia="方正仿宋_GBK" w:cs="Times New Roman"/>
              </w:rPr>
            </w:pPr>
            <w:r>
              <w:rPr>
                <w:rFonts w:hint="eastAsia" w:ascii="Times New Roman" w:hAnsi="Times New Roman" w:eastAsia="方正仿宋_GBK" w:cs="Times New Roman"/>
                <w:lang w:val="en-US" w:eastAsia="zh-CN"/>
              </w:rPr>
              <w:t>2.</w:t>
            </w:r>
            <w:r>
              <w:rPr>
                <w:rFonts w:hint="default" w:ascii="Times New Roman" w:hAnsi="Times New Roman" w:eastAsia="方正仿宋_GBK" w:cs="Times New Roman"/>
              </w:rPr>
              <w:t>商务部统计口径中，《中国-白俄罗斯服务贸易和投资协定》被列为我国已签署的24个自贸协定之一，而《中国-洪都拉斯自贸协定》早期收获安排未被列入。从企业享受关税优惠角度考虑，由于前者不涉及关税减让；《中国-洪都拉斯自贸协定》虽未达成，但其涉及关税减让的早期收获安排已生效实施，本篇将后者纳入统计范围。</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firstLine="640" w:firstLineChars="200"/>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三、</w:t>
      </w:r>
      <w:r>
        <w:rPr>
          <w:rFonts w:hint="eastAsia" w:ascii="方正黑体_GBK" w:hAnsi="方正黑体_GBK" w:eastAsia="方正黑体_GBK" w:cs="方正黑体_GBK"/>
          <w:sz w:val="32"/>
          <w:szCs w:val="32"/>
        </w:rPr>
        <w:t>原产地规则</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泰国原产地认定规则由泰国商业部负责制定，并由商业部下属的对外贸易部具体实施。根据泰国商业部对外贸易部发布的泰国出口指导手册，整体分为‌优惠原产地规则‌和‌非优惠原产地规则‌两大体系。泰国通用的原产地判定采用四大类标准：一是完全获得标准</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WO</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农产品、矿产等完全在泰国境内种植、开采或生产的货物，直接认定为泰国原产；二是税则归类改变标准（CTC），根据不同产品类型，成品的海关编码（HS编码）需与所用非泰国原产材料的HS编码前两位、前四位或前六位发生变化；三是区域价值成分标准（RVC），产品在泰国增加的价值必须达到一定比例。最常见的RVC要求是40%，可通过间接法【RVC =（FOB价格-非原产材料价值</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 FOB价格×100%】和直接法【RVC =（原产材料价值+直接人工成本+直接经营费用成本+利润+其他成本）/ FOB价格×100%】两种方式计算；四是特定加工工序标准，针对纺织品、电子产品等特殊品类，要求在泰国完成指定核心生产工序，如纺织品需完成纺纱、染整等关键环节。优惠原产地规则是指泰国签署的优惠贸易协</w:t>
      </w:r>
      <w:r>
        <w:rPr>
          <w:rFonts w:hint="eastAsia" w:ascii="Times New Roman" w:hAnsi="Times New Roman" w:eastAsia="方正仿宋_GBK" w:cs="Times New Roman"/>
          <w:sz w:val="32"/>
          <w:szCs w:val="32"/>
          <w:lang w:eastAsia="zh-CN"/>
        </w:rPr>
        <w:t>定规定的</w:t>
      </w:r>
      <w:r>
        <w:rPr>
          <w:rFonts w:hint="default" w:ascii="Times New Roman" w:hAnsi="Times New Roman" w:eastAsia="方正仿宋_GBK" w:cs="Times New Roman"/>
          <w:sz w:val="32"/>
          <w:szCs w:val="32"/>
          <w:lang w:eastAsia="zh-CN"/>
        </w:rPr>
        <w:t>原产地标准</w:t>
      </w:r>
      <w:r>
        <w:rPr>
          <w:rFonts w:hint="eastAsia" w:ascii="Times New Roman" w:hAnsi="Times New Roman" w:eastAsia="方正仿宋_GBK" w:cs="Times New Roman"/>
          <w:sz w:val="32"/>
          <w:szCs w:val="32"/>
          <w:lang w:eastAsia="zh-CN"/>
        </w:rPr>
        <w:t>，用</w:t>
      </w:r>
      <w:r>
        <w:rPr>
          <w:rFonts w:hint="default" w:ascii="Times New Roman" w:hAnsi="Times New Roman" w:eastAsia="方正仿宋_GBK" w:cs="Times New Roman"/>
          <w:sz w:val="32"/>
          <w:szCs w:val="32"/>
          <w:lang w:eastAsia="zh-CN"/>
        </w:rPr>
        <w:t>来确定某种商品是否</w:t>
      </w:r>
      <w:r>
        <w:rPr>
          <w:rFonts w:hint="eastAsia" w:ascii="Times New Roman" w:hAnsi="Times New Roman" w:eastAsia="方正仿宋_GBK" w:cs="Times New Roman"/>
          <w:sz w:val="32"/>
          <w:szCs w:val="32"/>
          <w:lang w:eastAsia="zh-CN"/>
        </w:rPr>
        <w:t>满足该协定项下的</w:t>
      </w:r>
      <w:r>
        <w:rPr>
          <w:rFonts w:hint="default" w:ascii="Times New Roman" w:hAnsi="Times New Roman" w:eastAsia="方正仿宋_GBK" w:cs="Times New Roman"/>
          <w:sz w:val="32"/>
          <w:szCs w:val="32"/>
          <w:lang w:eastAsia="zh-CN"/>
        </w:rPr>
        <w:t>泰国原产</w:t>
      </w:r>
      <w:r>
        <w:rPr>
          <w:rFonts w:hint="eastAsia" w:ascii="Times New Roman" w:hAnsi="Times New Roman" w:eastAsia="方正仿宋_GBK" w:cs="Times New Roman"/>
          <w:sz w:val="32"/>
          <w:szCs w:val="32"/>
          <w:lang w:eastAsia="zh-CN"/>
        </w:rPr>
        <w:t>要求</w:t>
      </w:r>
      <w:r>
        <w:rPr>
          <w:rFonts w:hint="default" w:ascii="Times New Roman" w:hAnsi="Times New Roman" w:eastAsia="方正仿宋_GBK" w:cs="Times New Roman"/>
          <w:sz w:val="32"/>
          <w:szCs w:val="32"/>
          <w:lang w:eastAsia="zh-CN"/>
        </w:rPr>
        <w:t>并享受</w:t>
      </w:r>
      <w:r>
        <w:rPr>
          <w:rFonts w:hint="eastAsia" w:ascii="Times New Roman" w:hAnsi="Times New Roman" w:eastAsia="方正仿宋_GBK" w:cs="Times New Roman"/>
          <w:sz w:val="32"/>
          <w:szCs w:val="32"/>
          <w:lang w:eastAsia="zh-CN"/>
        </w:rPr>
        <w:t>该协定的</w:t>
      </w:r>
      <w:r>
        <w:rPr>
          <w:rFonts w:hint="default" w:ascii="Times New Roman" w:hAnsi="Times New Roman" w:eastAsia="方正仿宋_GBK" w:cs="Times New Roman"/>
          <w:sz w:val="32"/>
          <w:szCs w:val="32"/>
          <w:lang w:eastAsia="zh-CN"/>
        </w:rPr>
        <w:t>关税优惠。</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2025年11月，泰国商业部针对美国“对等关税”机制下的贸易风险，强化了原产地认证：一是将高风险产品监管清单从49类扩展至65类，覆盖224个HS税则编码（6位数）；二是取消泰国商会（TCC）和泰国工业联合会（FTI）的签发权，泰国对外贸易厅（DFT）成为对美出口产品原产地证书（C/O）的唯一签发机构；三是出口美国产品要求最低40%泰国本地价值含量（RVC），并符合“实质性转变”标准；纺织品需本地纱线含量≥50%，电池/电子产品本地组装比例≥30%等。</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leftChars="200"/>
        <w:textAlignment w:val="auto"/>
        <w:outlineLvl w:val="9"/>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四、重点产业</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从产业结构来看，服务业始终是泰国经济的主导产业。2025年，泰国服务业GDP增加值贡献率为62.7%，主要由批发零售、住宿餐饮、金融和运输等产业拉动；其次是工业，增加值占比28.</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lang w:eastAsia="zh-CN"/>
        </w:rPr>
        <w:t>%；农业增加值占比偏低，仅为8.</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eastAsia="zh-CN"/>
        </w:rPr>
        <w:t>%。泰国制造业以食品加工、电子及电器设备、汽车制造、石化、化工产品、橡胶、钢铁、塑料与纺织</w:t>
      </w: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lang w:eastAsia="zh-CN"/>
        </w:rPr>
        <w:t>大板块为核心，产业布局与资源禀赋、区位条件高度耦合。目前泰国正处于向高附加值工业升级阶段，电动汽车和电子产业在政策与外资强力推动下快速崛起。</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eastAsia="zh-CN"/>
        </w:rPr>
        <w:t>025年，泰国汽车总销量达62.1万辆，</w:t>
      </w:r>
      <w:r>
        <w:rPr>
          <w:rFonts w:hint="eastAsia" w:ascii="Times New Roman" w:hAnsi="Times New Roman" w:eastAsia="方正仿宋_GBK" w:cs="Times New Roman"/>
          <w:sz w:val="32"/>
          <w:szCs w:val="32"/>
          <w:lang w:eastAsia="zh-CN"/>
        </w:rPr>
        <w:t>同比</w:t>
      </w:r>
      <w:r>
        <w:rPr>
          <w:rFonts w:hint="default" w:ascii="Times New Roman" w:hAnsi="Times New Roman" w:eastAsia="方正仿宋_GBK" w:cs="Times New Roman"/>
          <w:sz w:val="32"/>
          <w:szCs w:val="32"/>
          <w:lang w:eastAsia="zh-CN"/>
        </w:rPr>
        <w:t>增长8.5%；电子电气产业获批投资金额同比增长19.8%，创历史新高。</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“泰国4.0”是泰国政府于2016年提出的国家经济发展战略，计划用20年时间（2017</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2036年），推动泰国转向以创新、技术和知识驱动的高附加值经济模式</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重点支持发展新型汽车、智能电子、农业与生物科技、食品加工、高端旅游和康养、自动化、航空与物流、综合医疗、生物燃料和化学工业、数字经济、国防工业、人力教育12大目标产业。</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为推动“泰国</w:t>
      </w:r>
      <w:r>
        <w:rPr>
          <w:rFonts w:hint="default" w:ascii="Times New Roman" w:hAnsi="Times New Roman" w:eastAsia="方正仿宋_GBK" w:cs="Times New Roman"/>
          <w:sz w:val="32"/>
          <w:szCs w:val="32"/>
          <w:lang w:val="en-US" w:eastAsia="zh-CN"/>
        </w:rPr>
        <w:t>4.0</w:t>
      </w:r>
      <w:r>
        <w:rPr>
          <w:rFonts w:hint="default" w:ascii="Times New Roman" w:hAnsi="Times New Roman" w:eastAsia="方正仿宋_GBK" w:cs="Times New Roman"/>
          <w:sz w:val="32"/>
          <w:szCs w:val="32"/>
          <w:lang w:eastAsia="zh-CN"/>
        </w:rPr>
        <w:t>”战略实施，泰国政府推出以“东部经济走廊”（EEC）为核心的区域经济发展政策，并同步打造“南部经济走廊”和10大边境经济特区。作为“泰国4.0”战略的核心载体，EEC覆盖东部的北柳、春武里和罗勇三府，</w:t>
      </w:r>
      <w:r>
        <w:rPr>
          <w:rFonts w:hint="eastAsia" w:ascii="Times New Roman" w:hAnsi="Times New Roman" w:eastAsia="方正仿宋_GBK" w:cs="Times New Roman"/>
          <w:sz w:val="32"/>
          <w:szCs w:val="32"/>
          <w:lang w:eastAsia="zh-CN"/>
        </w:rPr>
        <w:t>重点打造</w:t>
      </w:r>
      <w:r>
        <w:rPr>
          <w:rFonts w:hint="default" w:ascii="Times New Roman" w:hAnsi="Times New Roman" w:eastAsia="方正仿宋_GBK" w:cs="Times New Roman"/>
          <w:sz w:val="32"/>
          <w:szCs w:val="32"/>
          <w:lang w:eastAsia="zh-CN"/>
        </w:rPr>
        <w:t>医疗健康、</w:t>
      </w:r>
      <w:r>
        <w:rPr>
          <w:rFonts w:hint="default" w:ascii="Times New Roman" w:hAnsi="Times New Roman" w:eastAsia="方正仿宋_GBK" w:cs="Times New Roman"/>
          <w:sz w:val="32"/>
          <w:szCs w:val="32"/>
          <w:lang w:eastAsia="zh-CN"/>
        </w:rPr>
        <w:fldChar w:fldCharType="begin"/>
      </w:r>
      <w:r>
        <w:rPr>
          <w:rFonts w:hint="default" w:ascii="Times New Roman" w:hAnsi="Times New Roman" w:eastAsia="方正仿宋_GBK" w:cs="Times New Roman"/>
          <w:sz w:val="32"/>
          <w:szCs w:val="32"/>
          <w:lang w:eastAsia="zh-CN"/>
        </w:rPr>
        <w:instrText xml:space="preserve"> HYPERLINK "https://baike.baidu.com/item/%E6%95%B0%E5%AD%97%E7%BB%8F%E6%B5%8E/10227477?fromModule=lemma_inlink" \t "https://baike.baidu.com/item/%E6%B3%B0%E5%9B%BD4.0/_blank" </w:instrText>
      </w:r>
      <w:r>
        <w:rPr>
          <w:rFonts w:hint="default" w:ascii="Times New Roman" w:hAnsi="Times New Roman" w:eastAsia="方正仿宋_GBK" w:cs="Times New Roman"/>
          <w:sz w:val="32"/>
          <w:szCs w:val="32"/>
          <w:lang w:eastAsia="zh-CN"/>
        </w:rPr>
        <w:fldChar w:fldCharType="separate"/>
      </w:r>
      <w:r>
        <w:rPr>
          <w:rFonts w:hint="default" w:ascii="Times New Roman" w:hAnsi="Times New Roman" w:eastAsia="方正仿宋_GBK" w:cs="Times New Roman"/>
          <w:sz w:val="32"/>
          <w:szCs w:val="32"/>
          <w:lang w:eastAsia="zh-CN"/>
        </w:rPr>
        <w:t>数字经济</w:t>
      </w:r>
      <w:r>
        <w:rPr>
          <w:rFonts w:hint="default" w:ascii="Times New Roman" w:hAnsi="Times New Roman" w:eastAsia="方正仿宋_GBK" w:cs="Times New Roman"/>
          <w:sz w:val="32"/>
          <w:szCs w:val="32"/>
          <w:lang w:eastAsia="zh-CN"/>
        </w:rPr>
        <w:fldChar w:fldCharType="end"/>
      </w:r>
      <w:r>
        <w:rPr>
          <w:rFonts w:hint="default" w:ascii="Times New Roman" w:hAnsi="Times New Roman" w:eastAsia="方正仿宋_GBK" w:cs="Times New Roman"/>
          <w:sz w:val="32"/>
          <w:szCs w:val="32"/>
          <w:lang w:eastAsia="zh-CN"/>
        </w:rPr>
        <w:t>、下一代汽车、生物循环绿色经济、高端服务</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eastAsia="zh-CN"/>
        </w:rPr>
        <w:t>大核心产业集群</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中国是</w:t>
      </w:r>
      <w:r>
        <w:rPr>
          <w:rFonts w:hint="default" w:ascii="Times New Roman" w:hAnsi="Times New Roman" w:eastAsia="方正仿宋_GBK" w:cs="Times New Roman"/>
          <w:sz w:val="32"/>
          <w:szCs w:val="32"/>
          <w:lang w:val="en-US" w:eastAsia="zh-CN"/>
        </w:rPr>
        <w:t>EEC最大外资来源地。</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leftChars="200"/>
        <w:textAlignment w:val="auto"/>
        <w:outlineLvl w:val="9"/>
        <w:rPr>
          <w:rFonts w:hint="eastAsia" w:ascii="Times New Roman" w:hAnsi="Times New Roman" w:eastAsia="方正仿宋_GBK" w:cs="Times New Roman"/>
          <w:sz w:val="28"/>
          <w:szCs w:val="28"/>
          <w:lang w:val="en-US" w:eastAsia="zh-CN"/>
        </w:rPr>
      </w:pPr>
      <w:r>
        <w:rPr>
          <w:rFonts w:hint="eastAsia" w:ascii="方正黑体_GBK" w:hAnsi="方正黑体_GBK" w:eastAsia="方正黑体_GBK" w:cs="方正黑体_GBK"/>
          <w:sz w:val="32"/>
          <w:szCs w:val="32"/>
          <w:lang w:eastAsia="zh-CN"/>
        </w:rPr>
        <w:t>五、重点经贸法规政策速览</w:t>
      </w:r>
    </w:p>
    <w:p>
      <w:pPr>
        <w:spacing w:after="0" w:line="240" w:lineRule="auto"/>
        <w:jc w:val="center"/>
        <w:rPr>
          <w:rFonts w:hint="eastAsia" w:ascii="Times New Roman" w:hAnsi="Times New Roman" w:eastAsia="方正小标宋_GBK" w:cs="Times New Roman"/>
          <w:sz w:val="28"/>
          <w:szCs w:val="28"/>
          <w:lang w:val="en-US" w:eastAsia="zh-CN"/>
        </w:rPr>
      </w:pPr>
      <w:r>
        <w:rPr>
          <w:rFonts w:hint="eastAsia" w:ascii="Times New Roman" w:hAnsi="Times New Roman" w:eastAsia="方正小标宋_GBK" w:cs="Times New Roman"/>
          <w:sz w:val="28"/>
          <w:szCs w:val="28"/>
          <w:lang w:val="en-US" w:eastAsia="zh-CN"/>
        </w:rPr>
        <w:t>表2  泰国重点经贸法规政策</w:t>
      </w:r>
    </w:p>
    <w:tbl>
      <w:tblPr>
        <w:tblStyle w:val="12"/>
        <w:tblW w:w="9012" w:type="dxa"/>
        <w:tblInd w:w="-2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588"/>
        <w:gridCol w:w="950"/>
        <w:gridCol w:w="57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outlineLvl w:val="9"/>
              <w:rPr>
                <w:rFonts w:hint="default" w:ascii="Times New Roman" w:hAnsi="Times New Roman" w:eastAsia="方正黑体_GBK" w:cs="Times New Roman"/>
                <w:sz w:val="24"/>
                <w:szCs w:val="24"/>
                <w:vertAlign w:val="baseline"/>
                <w:lang w:val="en-US" w:eastAsia="zh-CN"/>
              </w:rPr>
            </w:pPr>
            <w:r>
              <w:rPr>
                <w:rFonts w:hint="default" w:ascii="Times New Roman" w:hAnsi="Times New Roman" w:eastAsia="方正黑体_GBK" w:cs="Times New Roman"/>
                <w:sz w:val="24"/>
                <w:szCs w:val="24"/>
                <w:vertAlign w:val="baseline"/>
                <w:lang w:val="en-US" w:eastAsia="zh-CN"/>
              </w:rPr>
              <w:t>分类</w:t>
            </w:r>
          </w:p>
        </w:tc>
        <w:tc>
          <w:tcPr>
            <w:tcW w:w="15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outlineLvl w:val="9"/>
              <w:rPr>
                <w:rFonts w:hint="default" w:ascii="Times New Roman" w:hAnsi="Times New Roman" w:eastAsia="方正黑体_GBK" w:cs="Times New Roman"/>
                <w:sz w:val="24"/>
                <w:szCs w:val="24"/>
                <w:vertAlign w:val="baseline"/>
                <w:lang w:val="en-US" w:eastAsia="zh-CN"/>
              </w:rPr>
            </w:pPr>
            <w:r>
              <w:rPr>
                <w:rFonts w:hint="default" w:ascii="Times New Roman" w:hAnsi="Times New Roman" w:eastAsia="方正黑体_GBK" w:cs="Times New Roman"/>
                <w:sz w:val="24"/>
                <w:szCs w:val="24"/>
                <w:vertAlign w:val="baseline"/>
                <w:lang w:val="en-US" w:eastAsia="zh-CN"/>
              </w:rPr>
              <w:t>名称</w:t>
            </w:r>
          </w:p>
        </w:tc>
        <w:tc>
          <w:tcPr>
            <w:tcW w:w="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outlineLvl w:val="9"/>
              <w:rPr>
                <w:rFonts w:hint="default" w:ascii="Times New Roman" w:hAnsi="Times New Roman" w:eastAsia="方正黑体_GBK" w:cs="Times New Roman"/>
                <w:sz w:val="24"/>
                <w:szCs w:val="24"/>
                <w:vertAlign w:val="baseline"/>
                <w:lang w:val="en-US" w:eastAsia="zh-CN"/>
              </w:rPr>
            </w:pPr>
            <w:r>
              <w:rPr>
                <w:rFonts w:hint="default" w:ascii="Times New Roman" w:hAnsi="Times New Roman" w:eastAsia="方正黑体_GBK" w:cs="Times New Roman"/>
                <w:sz w:val="24"/>
                <w:szCs w:val="24"/>
                <w:vertAlign w:val="baseline"/>
                <w:lang w:val="en-US" w:eastAsia="zh-CN"/>
              </w:rPr>
              <w:t>生效</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outlineLvl w:val="9"/>
              <w:rPr>
                <w:rFonts w:hint="default" w:ascii="Times New Roman" w:hAnsi="Times New Roman" w:eastAsia="方正黑体_GBK" w:cs="Times New Roman"/>
                <w:sz w:val="24"/>
                <w:szCs w:val="24"/>
                <w:vertAlign w:val="baseline"/>
                <w:lang w:val="en-US" w:eastAsia="zh-CN"/>
              </w:rPr>
            </w:pPr>
            <w:r>
              <w:rPr>
                <w:rFonts w:hint="default" w:ascii="Times New Roman" w:hAnsi="Times New Roman" w:eastAsia="方正黑体_GBK" w:cs="Times New Roman"/>
                <w:sz w:val="24"/>
                <w:szCs w:val="24"/>
                <w:vertAlign w:val="baseline"/>
                <w:lang w:val="en-US" w:eastAsia="zh-CN"/>
              </w:rPr>
              <w:t>时间</w:t>
            </w:r>
          </w:p>
        </w:tc>
        <w:tc>
          <w:tcPr>
            <w:tcW w:w="57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outlineLvl w:val="9"/>
              <w:rPr>
                <w:rFonts w:hint="default" w:ascii="Times New Roman" w:hAnsi="Times New Roman" w:eastAsia="方正黑体_GBK" w:cs="Times New Roman"/>
                <w:sz w:val="24"/>
                <w:szCs w:val="24"/>
                <w:vertAlign w:val="baseline"/>
                <w:lang w:val="en-US" w:eastAsia="zh-CN"/>
              </w:rPr>
            </w:pPr>
            <w:r>
              <w:rPr>
                <w:rFonts w:hint="default" w:ascii="Times New Roman" w:hAnsi="Times New Roman" w:eastAsia="方正黑体_GBK" w:cs="Times New Roman"/>
                <w:sz w:val="24"/>
                <w:szCs w:val="24"/>
                <w:vertAlign w:val="baseline"/>
                <w:lang w:val="en-US" w:eastAsia="zh-CN"/>
              </w:rPr>
              <w:t>核心要求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687"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b w:val="0"/>
                <w:bCs w:val="0"/>
                <w:sz w:val="21"/>
                <w:szCs w:val="21"/>
                <w:lang w:val="en-US" w:eastAsia="zh-CN"/>
              </w:rPr>
            </w:pPr>
            <w:r>
              <w:rPr>
                <w:rFonts w:hint="default" w:ascii="Times New Roman" w:hAnsi="Times New Roman" w:eastAsia="方正仿宋_GBK" w:cs="Times New Roman"/>
                <w:b w:val="0"/>
                <w:bCs w:val="0"/>
                <w:sz w:val="21"/>
                <w:szCs w:val="21"/>
                <w:lang w:val="en-US" w:eastAsia="zh-CN"/>
              </w:rPr>
              <w:t>投资</w:t>
            </w:r>
          </w:p>
        </w:tc>
        <w:tc>
          <w:tcPr>
            <w:tcW w:w="15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eastAsia="zh-CN"/>
              </w:rPr>
              <w:t>外商经营企业法（</w:t>
            </w:r>
            <w:r>
              <w:rPr>
                <w:rFonts w:hint="default" w:ascii="Times New Roman" w:hAnsi="Times New Roman" w:eastAsia="方正仿宋_GBK" w:cs="Times New Roman"/>
                <w:sz w:val="21"/>
                <w:szCs w:val="21"/>
                <w:lang w:val="en-US" w:eastAsia="zh-CN"/>
              </w:rPr>
              <w:t>FBA</w:t>
            </w:r>
            <w:r>
              <w:rPr>
                <w:rFonts w:hint="default" w:ascii="Times New Roman" w:hAnsi="Times New Roman" w:eastAsia="方正仿宋_GBK" w:cs="Times New Roman"/>
                <w:sz w:val="21"/>
                <w:szCs w:val="21"/>
                <w:lang w:eastAsia="zh-CN"/>
              </w:rPr>
              <w:t>）</w:t>
            </w:r>
          </w:p>
        </w:tc>
        <w:tc>
          <w:tcPr>
            <w:tcW w:w="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1999年</w:t>
            </w:r>
          </w:p>
        </w:tc>
        <w:tc>
          <w:tcPr>
            <w:tcW w:w="57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列明三类禁止或限制外商投资经营业务的目录：因特殊理由禁止外籍人投资的行业、须经商业部长批准的行业、本国人对外籍人未具竞争能力的投资业务。‌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687"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b w:val="0"/>
                <w:bCs w:val="0"/>
                <w:sz w:val="21"/>
                <w:szCs w:val="21"/>
                <w:lang w:val="en-US" w:eastAsia="zh-CN"/>
              </w:rPr>
            </w:pPr>
          </w:p>
        </w:tc>
        <w:tc>
          <w:tcPr>
            <w:tcW w:w="15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投资促进法</w:t>
            </w:r>
          </w:p>
        </w:tc>
        <w:tc>
          <w:tcPr>
            <w:tcW w:w="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2024年修订</w:t>
            </w:r>
          </w:p>
        </w:tc>
        <w:tc>
          <w:tcPr>
            <w:tcW w:w="57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将人工智能（AI）、机器人、自动化系统、航空航天等纳入“A1+级”最高优惠类别，企业所得税免除期可达13年（原制度上限为8年）。取消部分B类活动的BOI审批前置要求，改为事后备案制。对于投资额不超过2亿泰铢的A类项目，审批时限从90个工作日缩短至45个工作日。新增技术转让义务条款，要求享受优惠的企业在运营第三年起提交年度技术转让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7" w:hRule="atLeast"/>
          <w:tblHeader/>
        </w:trPr>
        <w:tc>
          <w:tcPr>
            <w:tcW w:w="687"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b w:val="0"/>
                <w:bCs w:val="0"/>
                <w:sz w:val="21"/>
                <w:szCs w:val="21"/>
                <w:lang w:val="en-US" w:eastAsia="zh-CN"/>
              </w:rPr>
            </w:pPr>
          </w:p>
        </w:tc>
        <w:tc>
          <w:tcPr>
            <w:tcW w:w="1588"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17" w:lineRule="atLeast"/>
              <w:ind w:left="0" w:right="0" w:firstLine="0"/>
              <w:jc w:val="center"/>
              <w:textAlignment w:val="auto"/>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b w:val="0"/>
                <w:kern w:val="2"/>
                <w:sz w:val="21"/>
                <w:szCs w:val="21"/>
                <w:lang w:val="en-US" w:eastAsia="zh-CN" w:bidi="ar-SA"/>
              </w:rPr>
              <w:t>《2026年部级条例（第5号）》《关于规定无需申请外国人经营许可的服务业》</w:t>
            </w:r>
          </w:p>
        </w:tc>
        <w:tc>
          <w:tcPr>
            <w:tcW w:w="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2026年8月</w:t>
            </w:r>
          </w:p>
        </w:tc>
        <w:tc>
          <w:tcPr>
            <w:tcW w:w="5787"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17" w:lineRule="atLeast"/>
              <w:ind w:left="0" w:right="0" w:firstLine="0"/>
              <w:jc w:val="left"/>
              <w:textAlignment w:val="auto"/>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b w:val="0"/>
                <w:kern w:val="2"/>
                <w:sz w:val="21"/>
                <w:szCs w:val="21"/>
                <w:lang w:val="en-US" w:eastAsia="zh-CN" w:bidi="ar-SA"/>
              </w:rPr>
              <w:t>进一步扩大部分证券及衍生品业务的豁免范围，并新增电信服务、财资中心、集团内部管理服务、集团内部债务担保服务、为员工便利而出租部分场所的服务、石油钻井服务六类可适用FBA豁免的服务业务。正式放开特定场外衍生品代理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687"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b w:val="0"/>
                <w:bCs w:val="0"/>
                <w:sz w:val="21"/>
                <w:szCs w:val="21"/>
                <w:lang w:val="en-US" w:eastAsia="zh-CN"/>
              </w:rPr>
            </w:pPr>
            <w:r>
              <w:rPr>
                <w:rFonts w:hint="default" w:ascii="Times New Roman" w:hAnsi="Times New Roman" w:eastAsia="方正仿宋_GBK" w:cs="Times New Roman"/>
                <w:b w:val="0"/>
                <w:bCs w:val="0"/>
                <w:sz w:val="21"/>
                <w:szCs w:val="21"/>
                <w:lang w:val="en-US" w:eastAsia="zh-CN"/>
              </w:rPr>
              <w:t>税收</w:t>
            </w:r>
          </w:p>
        </w:tc>
        <w:tc>
          <w:tcPr>
            <w:tcW w:w="15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税法典</w:t>
            </w:r>
          </w:p>
        </w:tc>
        <w:tc>
          <w:tcPr>
            <w:tcW w:w="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1938年颁布</w:t>
            </w:r>
          </w:p>
        </w:tc>
        <w:tc>
          <w:tcPr>
            <w:tcW w:w="57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1.个人所得税采用‌5%—35%七级累进税率‌，‌年收入15万泰铢以下免税‌。‌‌</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2.法定企业所得税税率为20%，年净利润不超过30万泰铢的小规模企业免征。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3.增值税普通税率为10%，但目前减按7%执行。年营业额超过180万泰铢的个人或单位，只要在泰国销售应税货物或提供应税劳务，都应缴纳增值税。泰国自2024年7月5日起取消对价值1500泰铢以下进口货物增值税（VAT）豁免政策，即对价值1泰铢及以上进口货物征收7%的增值税。</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4.征收特别营业税的行业有银行业、金融业及相关业务、寿险、典当业和经纪业、房地产及其他皇家法案规定的业务，税率在2.5%—3%。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687"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b w:val="0"/>
                <w:bCs w:val="0"/>
                <w:sz w:val="21"/>
                <w:szCs w:val="21"/>
                <w:lang w:val="en-US" w:eastAsia="zh-CN"/>
              </w:rPr>
            </w:pPr>
          </w:p>
        </w:tc>
        <w:tc>
          <w:tcPr>
            <w:tcW w:w="15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补足税紧急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法令</w:t>
            </w:r>
          </w:p>
        </w:tc>
        <w:tc>
          <w:tcPr>
            <w:tcW w:w="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2025年</w:t>
            </w:r>
          </w:p>
        </w:tc>
        <w:tc>
          <w:tcPr>
            <w:tcW w:w="57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强制要求跨国企业必须缴纳15%最低企业所得税。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687"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val="en-US" w:eastAsia="zh-CN"/>
              </w:rPr>
            </w:pPr>
          </w:p>
        </w:tc>
        <w:tc>
          <w:tcPr>
            <w:tcW w:w="15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税收法典（第53号）修正案</w:t>
            </w:r>
          </w:p>
        </w:tc>
        <w:tc>
          <w:tcPr>
            <w:tcW w:w="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2021年</w:t>
            </w:r>
          </w:p>
        </w:tc>
        <w:tc>
          <w:tcPr>
            <w:tcW w:w="57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对泰国正式或非正式注册用户提供“电子服务/数字服务”，年收入超过180万泰铢的外国数字服务公司或平台（B2C），须缴纳7%的增值税。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687"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知识产权</w:t>
            </w:r>
          </w:p>
        </w:tc>
        <w:tc>
          <w:tcPr>
            <w:tcW w:w="15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专利法</w:t>
            </w:r>
          </w:p>
        </w:tc>
        <w:tc>
          <w:tcPr>
            <w:tcW w:w="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1979年</w:t>
            </w:r>
          </w:p>
        </w:tc>
        <w:tc>
          <w:tcPr>
            <w:tcW w:w="57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专利的有效保护期视专利类别为自提交申请之日起10年或20年。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687"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val="en-US" w:eastAsia="zh-CN"/>
              </w:rPr>
            </w:pPr>
          </w:p>
        </w:tc>
        <w:tc>
          <w:tcPr>
            <w:tcW w:w="15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商标法</w:t>
            </w:r>
          </w:p>
        </w:tc>
        <w:tc>
          <w:tcPr>
            <w:tcW w:w="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1991年</w:t>
            </w:r>
          </w:p>
        </w:tc>
        <w:tc>
          <w:tcPr>
            <w:tcW w:w="57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商标一旦注册，有效保护期为10年，在有效期终止前90天内缴纳相关规定费用后可续展其有效期；否则，注册商标在期满后将被注销。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687"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val="en-US" w:eastAsia="zh-CN"/>
              </w:rPr>
            </w:pPr>
          </w:p>
        </w:tc>
        <w:tc>
          <w:tcPr>
            <w:tcW w:w="15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著作权法</w:t>
            </w:r>
          </w:p>
        </w:tc>
        <w:tc>
          <w:tcPr>
            <w:tcW w:w="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1994年</w:t>
            </w:r>
          </w:p>
        </w:tc>
        <w:tc>
          <w:tcPr>
            <w:tcW w:w="57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将“版权”定义为“创作人对其作品的独有支配权”，将“版权创作人”定义为该作品的制作者或创作者。著作权所有人独家享有复制、改编、出售计算机软件、音像、电影和录音作品、分配著作权收获的利益以及授权他人使用其著作权的权利。</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87" w:lineRule="exact"/>
        <w:textAlignment w:val="auto"/>
        <w:outlineLvl w:val="9"/>
        <w:rPr>
          <w:rFonts w:hint="eastAsia" w:ascii="方正楷体_GBK" w:hAnsi="方正楷体_GBK" w:eastAsia="方正楷体_GBK" w:cs="方正楷体_GBK"/>
          <w:sz w:val="32"/>
          <w:szCs w:val="32"/>
          <w:lang w:val="en-US" w:eastAsia="zh-CN"/>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2000000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方正楷体_GBK">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E0426D"/>
    <w:rsid w:val="03E0426D"/>
    <w:rsid w:val="05EE4CF6"/>
    <w:rsid w:val="0BD20875"/>
    <w:rsid w:val="0C1E1B4F"/>
    <w:rsid w:val="11851213"/>
    <w:rsid w:val="12D6626C"/>
    <w:rsid w:val="13D03E8C"/>
    <w:rsid w:val="143F52C7"/>
    <w:rsid w:val="1A244449"/>
    <w:rsid w:val="1B4046BA"/>
    <w:rsid w:val="1D6E1B9B"/>
    <w:rsid w:val="22D97FF3"/>
    <w:rsid w:val="231A34F5"/>
    <w:rsid w:val="241664D3"/>
    <w:rsid w:val="283D5B4E"/>
    <w:rsid w:val="29A20E9D"/>
    <w:rsid w:val="2DC01388"/>
    <w:rsid w:val="31A528C4"/>
    <w:rsid w:val="37156E42"/>
    <w:rsid w:val="3E321D0E"/>
    <w:rsid w:val="3FB41DB3"/>
    <w:rsid w:val="3FCF4632"/>
    <w:rsid w:val="40221FBB"/>
    <w:rsid w:val="43F341E8"/>
    <w:rsid w:val="473B2428"/>
    <w:rsid w:val="475C76A5"/>
    <w:rsid w:val="4C891AB3"/>
    <w:rsid w:val="52263483"/>
    <w:rsid w:val="54816162"/>
    <w:rsid w:val="565E0F7B"/>
    <w:rsid w:val="578D2105"/>
    <w:rsid w:val="58E94146"/>
    <w:rsid w:val="59A332DB"/>
    <w:rsid w:val="5AE705FC"/>
    <w:rsid w:val="5D331275"/>
    <w:rsid w:val="5EA723F0"/>
    <w:rsid w:val="62353730"/>
    <w:rsid w:val="6D2217DB"/>
    <w:rsid w:val="73250E73"/>
    <w:rsid w:val="732D44FE"/>
    <w:rsid w:val="76145FDD"/>
    <w:rsid w:val="77A42C98"/>
    <w:rsid w:val="790658F9"/>
    <w:rsid w:val="7AB340A2"/>
    <w:rsid w:val="7B6D35CD"/>
    <w:rsid w:val="7D6370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qFormat/>
    <w:uiPriority w:val="0"/>
    <w:pPr>
      <w:keepNext/>
      <w:keepLines/>
      <w:spacing w:line="570" w:lineRule="exact"/>
      <w:ind w:firstLine="640" w:firstLineChars="200"/>
      <w:outlineLvl w:val="0"/>
    </w:pPr>
    <w:rPr>
      <w:rFonts w:eastAsia="方正黑体_GBK" w:cs="Times New Roman" w:asciiTheme="minorAscii" w:hAnsiTheme="minorAscii"/>
      <w:bCs/>
      <w:kern w:val="44"/>
      <w:sz w:val="32"/>
      <w:szCs w:val="44"/>
    </w:rPr>
  </w:style>
  <w:style w:type="paragraph" w:styleId="3">
    <w:name w:val="heading 2"/>
    <w:basedOn w:val="1"/>
    <w:next w:val="1"/>
    <w:link w:val="14"/>
    <w:semiHidden/>
    <w:unhideWhenUsed/>
    <w:qFormat/>
    <w:uiPriority w:val="0"/>
    <w:pPr>
      <w:keepNext/>
      <w:keepLines/>
      <w:spacing w:line="560" w:lineRule="exact"/>
      <w:ind w:firstLine="640" w:firstLineChars="200"/>
      <w:outlineLvl w:val="1"/>
    </w:pPr>
    <w:rPr>
      <w:rFonts w:eastAsia="方正楷体_GBK" w:asciiTheme="majorAscii" w:hAnsiTheme="majorAscii" w:cstheme="majorBidi"/>
      <w:bCs/>
      <w:sz w:val="32"/>
      <w:szCs w:val="32"/>
    </w:rPr>
  </w:style>
  <w:style w:type="paragraph" w:styleId="4">
    <w:name w:val="heading 3"/>
    <w:basedOn w:val="1"/>
    <w:next w:val="1"/>
    <w:link w:val="15"/>
    <w:semiHidden/>
    <w:unhideWhenUsed/>
    <w:qFormat/>
    <w:uiPriority w:val="0"/>
    <w:pPr>
      <w:keepNext/>
      <w:keepLines/>
      <w:snapToGrid/>
      <w:spacing w:line="587" w:lineRule="exact"/>
      <w:ind w:firstLine="640" w:firstLineChars="200"/>
      <w:outlineLvl w:val="2"/>
    </w:pPr>
    <w:rPr>
      <w:rFonts w:eastAsia="方正仿宋_GBK" w:asciiTheme="minorAscii" w:hAnsiTheme="minorAscii"/>
      <w:b/>
      <w:bCs/>
      <w:sz w:val="32"/>
      <w:szCs w:val="32"/>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8">
    <w:name w:val="Default Paragraph Font"/>
    <w:semiHidden/>
    <w:unhideWhenUsed/>
    <w:qFormat/>
    <w:uiPriority w:val="1"/>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3">
    <w:name w:val="标题 1 字符"/>
    <w:basedOn w:val="8"/>
    <w:link w:val="2"/>
    <w:qFormat/>
    <w:uiPriority w:val="9"/>
    <w:rPr>
      <w:rFonts w:eastAsia="方正黑体_GBK" w:cs="Times New Roman" w:asciiTheme="minorAscii" w:hAnsiTheme="minorAscii"/>
      <w:bCs/>
      <w:kern w:val="44"/>
      <w:sz w:val="32"/>
      <w:szCs w:val="44"/>
    </w:rPr>
  </w:style>
  <w:style w:type="character" w:customStyle="1" w:styleId="14">
    <w:name w:val="标题 2 字符"/>
    <w:basedOn w:val="8"/>
    <w:link w:val="3"/>
    <w:qFormat/>
    <w:uiPriority w:val="9"/>
    <w:rPr>
      <w:rFonts w:eastAsia="方正楷体_GBK" w:asciiTheme="majorAscii" w:hAnsiTheme="majorAscii" w:cstheme="majorBidi"/>
      <w:bCs/>
      <w:sz w:val="32"/>
      <w:szCs w:val="32"/>
    </w:rPr>
  </w:style>
  <w:style w:type="character" w:customStyle="1" w:styleId="15">
    <w:name w:val="标题 3 字符"/>
    <w:basedOn w:val="8"/>
    <w:link w:val="4"/>
    <w:qFormat/>
    <w:uiPriority w:val="0"/>
    <w:rPr>
      <w:rFonts w:eastAsia="方正仿宋_GBK" w:asciiTheme="minorAscii" w:hAnsiTheme="minorAscii" w:cstheme="min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PC\Desktop\&#36234;&#21335;.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PC\Desktop\&#36234;&#2133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444738743077"/>
          <c:y val="0.0928466438020578"/>
          <c:w val="0.828052010594751"/>
          <c:h val="0.724742773150416"/>
        </c:manualLayout>
      </c:layout>
      <c:barChart>
        <c:barDir val="col"/>
        <c:grouping val="clustered"/>
        <c:varyColors val="0"/>
        <c:ser>
          <c:idx val="0"/>
          <c:order val="0"/>
          <c:tx>
            <c:strRef>
              <c:f>[越南.xlsx]Sheet3!$C$4</c:f>
              <c:strCache>
                <c:ptCount val="1"/>
                <c:pt idx="0">
                  <c:v>江苏出口至泰国</c:v>
                </c:pt>
              </c:strCache>
            </c:strRef>
          </c:tx>
          <c:spPr>
            <a:solidFill>
              <a:schemeClr val="accent1"/>
            </a:solidFill>
            <a:ln>
              <a:noFill/>
            </a:ln>
            <a:effectLst/>
          </c:spPr>
          <c:invertIfNegative val="0"/>
          <c:dLbls>
            <c:dLbl>
              <c:idx val="0"/>
              <c:layout>
                <c:manualLayout>
                  <c:x val="-0.00168552853359018"/>
                  <c:y val="0.02008819206271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[越南.xlsx]Sheet3!$B$5:$B$9</c:f>
              <c:strCache>
                <c:ptCount val="5"/>
                <c:pt idx="0">
                  <c:v>2021年</c:v>
                </c:pt>
                <c:pt idx="1">
                  <c:v>2022年</c:v>
                </c:pt>
                <c:pt idx="2">
                  <c:v>2023年</c:v>
                </c:pt>
                <c:pt idx="3">
                  <c:v>2024年</c:v>
                </c:pt>
                <c:pt idx="4">
                  <c:v>2025年</c:v>
                </c:pt>
              </c:strCache>
            </c:strRef>
          </c:cat>
          <c:val>
            <c:numRef>
              <c:f>[越南.xlsx]Sheet3!$C$5:$C$9</c:f>
              <c:numCache>
                <c:formatCode>0.0_ </c:formatCode>
                <c:ptCount val="5"/>
                <c:pt idx="0">
                  <c:v>108.16</c:v>
                </c:pt>
                <c:pt idx="1">
                  <c:v>121.64</c:v>
                </c:pt>
                <c:pt idx="2">
                  <c:v>124.73</c:v>
                </c:pt>
                <c:pt idx="3">
                  <c:v>140.15</c:v>
                </c:pt>
                <c:pt idx="4">
                  <c:v>198.79</c:v>
                </c:pt>
              </c:numCache>
            </c:numRef>
          </c:val>
        </c:ser>
        <c:ser>
          <c:idx val="1"/>
          <c:order val="1"/>
          <c:tx>
            <c:strRef>
              <c:f>[越南.xlsx]Sheet3!$D$4</c:f>
              <c:strCache>
                <c:ptCount val="1"/>
                <c:pt idx="0">
                  <c:v>江苏自泰国进口</c:v>
                </c:pt>
              </c:strCache>
            </c:strRef>
          </c:tx>
          <c:spPr>
            <a:solidFill>
              <a:schemeClr val="accent2"/>
            </a:solidFill>
            <a:ln>
              <a:noFill/>
            </a:ln>
            <a:effectLst/>
          </c:spPr>
          <c:invertIfNegative val="0"/>
          <c:dLbls>
            <c:dLbl>
              <c:idx val="1"/>
              <c:layout>
                <c:manualLayout>
                  <c:x val="0.00168552853359018"/>
                  <c:y val="0.02694757471827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rot="0" spcFirstLastPara="0" vertOverflow="ellipsis" vert="horz" wrap="square" lIns="38100" tIns="19050" rIns="38100" bIns="19050" anchor="ctr" anchorCtr="1"/>
                  <a:lstStyle/>
                  <a:p>
                    <a:pPr defTabSz="914400">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solidFill>
                          <a:sysClr val="windowText" lastClr="000000"/>
                        </a:solidFill>
                      </a:rPr>
                      <a:t>92</a:t>
                    </a:r>
                    <a:endParaRPr>
                      <a:solidFill>
                        <a:sysClr val="windowText" lastClr="000000"/>
                      </a:solidFill>
                    </a:endParaRPr>
                  </a:p>
                </c:rich>
              </c:tx>
              <c:dLblPos val="outEnd"/>
              <c:showLegendKey val="0"/>
              <c:showVal val="1"/>
              <c:showCatName val="0"/>
              <c:showSerName val="0"/>
              <c:showPercent val="0"/>
              <c:showBubbleSize val="0"/>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defTabSz="914400">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solidFill>
                          <a:sysClr val="windowText" lastClr="000000"/>
                        </a:solidFill>
                      </a:rPr>
                      <a:t>149</a:t>
                    </a:r>
                    <a:endParaRPr>
                      <a:solidFill>
                        <a:sysClr val="windowText" lastClr="000000"/>
                      </a:solidFill>
                    </a:endParaRP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[越南.xlsx]Sheet3!$B$5:$B$9</c:f>
              <c:strCache>
                <c:ptCount val="5"/>
                <c:pt idx="0">
                  <c:v>2021年</c:v>
                </c:pt>
                <c:pt idx="1">
                  <c:v>2022年</c:v>
                </c:pt>
                <c:pt idx="2">
                  <c:v>2023年</c:v>
                </c:pt>
                <c:pt idx="3">
                  <c:v>2024年</c:v>
                </c:pt>
                <c:pt idx="4">
                  <c:v>2025年</c:v>
                </c:pt>
              </c:strCache>
            </c:strRef>
          </c:cat>
          <c:val>
            <c:numRef>
              <c:f>[越南.xlsx]Sheet3!$D$5:$D$9</c:f>
              <c:numCache>
                <c:formatCode>0.0_ </c:formatCode>
                <c:ptCount val="5"/>
                <c:pt idx="0">
                  <c:v>75.79</c:v>
                </c:pt>
                <c:pt idx="1">
                  <c:v>68.28</c:v>
                </c:pt>
                <c:pt idx="2">
                  <c:v>71.2</c:v>
                </c:pt>
                <c:pt idx="3">
                  <c:v>91.99</c:v>
                </c:pt>
                <c:pt idx="4">
                  <c:v>148.96</c:v>
                </c:pt>
              </c:numCache>
            </c:numRef>
          </c:val>
        </c:ser>
        <c:dLbls>
          <c:showLegendKey val="0"/>
          <c:showVal val="1"/>
          <c:showCatName val="0"/>
          <c:showSerName val="0"/>
          <c:showPercent val="0"/>
          <c:showBubbleSize val="0"/>
        </c:dLbls>
        <c:gapWidth val="219"/>
        <c:overlap val="-27"/>
        <c:axId val="573590551"/>
        <c:axId val="984879824"/>
      </c:barChart>
      <c:lineChart>
        <c:grouping val="standard"/>
        <c:varyColors val="0"/>
        <c:ser>
          <c:idx val="2"/>
          <c:order val="2"/>
          <c:tx>
            <c:strRef>
              <c:f>[越南.xlsx]Sheet3!$E$4</c:f>
              <c:strCache>
                <c:ptCount val="1"/>
                <c:pt idx="0">
                  <c:v>出口同比</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0.017096931420122"/>
                  <c:y val="-0.162479834495836"/>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575487599325789"/>
                  <c:y val="-0.0132288094071534"/>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852395858415603"/>
                  <c:y val="-0.0134737873591377"/>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12517780938834"/>
                  <c:y val="-0.046448087431694"/>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93691307488563"/>
                  <c:y val="-0.123713865752082"/>
                </c:manualLayout>
              </c:layout>
              <c:dLblPos val="b"/>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[越南.xlsx]Sheet3!$B$5:$B$9</c:f>
              <c:strCache>
                <c:ptCount val="5"/>
                <c:pt idx="0">
                  <c:v>2021年</c:v>
                </c:pt>
                <c:pt idx="1">
                  <c:v>2022年</c:v>
                </c:pt>
                <c:pt idx="2">
                  <c:v>2023年</c:v>
                </c:pt>
                <c:pt idx="3">
                  <c:v>2024年</c:v>
                </c:pt>
                <c:pt idx="4">
                  <c:v>2025年</c:v>
                </c:pt>
              </c:strCache>
            </c:strRef>
          </c:cat>
          <c:val>
            <c:numRef>
              <c:f>[越南.xlsx]Sheet3!$E$5:$E$9</c:f>
              <c:numCache>
                <c:formatCode>0.0%</c:formatCode>
                <c:ptCount val="5"/>
                <c:pt idx="0">
                  <c:v>0.305019305019305</c:v>
                </c:pt>
                <c:pt idx="1">
                  <c:v>0.124630177514793</c:v>
                </c:pt>
                <c:pt idx="2">
                  <c:v>0.0254028280170997</c:v>
                </c:pt>
                <c:pt idx="3">
                  <c:v>0.123627034394292</c:v>
                </c:pt>
                <c:pt idx="4">
                  <c:v>0.418408847663218</c:v>
                </c:pt>
              </c:numCache>
            </c:numRef>
          </c:val>
          <c:smooth val="0"/>
        </c:ser>
        <c:ser>
          <c:idx val="3"/>
          <c:order val="3"/>
          <c:tx>
            <c:strRef>
              <c:f>[越南.xlsx]Sheet3!$F$4</c:f>
              <c:strCache>
                <c:ptCount val="1"/>
                <c:pt idx="0">
                  <c:v>进口同比</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0.0461834618405283"/>
                  <c:y val="0.0391396567571708"/>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83794847098483"/>
                  <c:y val="0.0835374816266536"/>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44329400433422"/>
                  <c:y val="-0.0803527682508574"/>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571925417503122"/>
                  <c:y val="0.0823099145120655"/>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09966196949604"/>
                  <c:y val="0.00257695386650173"/>
                </c:manualLayout>
              </c:layout>
              <c:dLblPos val="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[越南.xlsx]Sheet3!$B$5:$B$9</c:f>
              <c:strCache>
                <c:ptCount val="5"/>
                <c:pt idx="0">
                  <c:v>2021年</c:v>
                </c:pt>
                <c:pt idx="1">
                  <c:v>2022年</c:v>
                </c:pt>
                <c:pt idx="2">
                  <c:v>2023年</c:v>
                </c:pt>
                <c:pt idx="3">
                  <c:v>2024年</c:v>
                </c:pt>
                <c:pt idx="4">
                  <c:v>2025年</c:v>
                </c:pt>
              </c:strCache>
            </c:strRef>
          </c:cat>
          <c:val>
            <c:numRef>
              <c:f>[越南.xlsx]Sheet3!$F$5:$F$9</c:f>
              <c:numCache>
                <c:formatCode>0.0%</c:formatCode>
                <c:ptCount val="5"/>
                <c:pt idx="0">
                  <c:v>0.274638412378069</c:v>
                </c:pt>
                <c:pt idx="1">
                  <c:v>-0.0990895896556274</c:v>
                </c:pt>
                <c:pt idx="2">
                  <c:v>0.0427650849443468</c:v>
                </c:pt>
                <c:pt idx="3">
                  <c:v>0.291994382022472</c:v>
                </c:pt>
                <c:pt idx="4">
                  <c:v>0.619306446352865</c:v>
                </c:pt>
              </c:numCache>
            </c:numRef>
          </c:val>
          <c:smooth val="0"/>
        </c:ser>
        <c:dLbls>
          <c:showLegendKey val="0"/>
          <c:showVal val="1"/>
          <c:showCatName val="0"/>
          <c:showSerName val="0"/>
          <c:showPercent val="0"/>
          <c:showBubbleSize val="0"/>
        </c:dLbls>
        <c:marker val="1"/>
        <c:smooth val="0"/>
        <c:axId val="42459962"/>
        <c:axId val="855113419"/>
      </c:lineChart>
      <c:catAx>
        <c:axId val="57359055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984879824"/>
        <c:crosses val="autoZero"/>
        <c:auto val="1"/>
        <c:lblAlgn val="ctr"/>
        <c:lblOffset val="100"/>
        <c:noMultiLvlLbl val="0"/>
      </c:catAx>
      <c:valAx>
        <c:axId val="984879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0" vertOverflow="ellipsis" vert="eaVert"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solidFill>
                      <a:sysClr val="windowText" lastClr="000000"/>
                    </a:solidFill>
                  </a:rPr>
                  <a:t>单位：亿美元</a:t>
                </a:r>
                <a:endParaRPr>
                  <a:solidFill>
                    <a:sysClr val="windowText" lastClr="000000"/>
                  </a:solidFill>
                </a:endParaRPr>
              </a:p>
            </c:rich>
          </c:tx>
          <c:layout>
            <c:manualLayout>
              <c:xMode val="edge"/>
              <c:yMode val="edge"/>
              <c:x val="0.0108446800819376"/>
              <c:y val="0.321036797037722"/>
            </c:manualLayout>
          </c:layout>
          <c:overlay val="0"/>
          <c:spPr>
            <a:noFill/>
            <a:ln>
              <a:noFill/>
            </a:ln>
            <a:effectLst/>
          </c:spPr>
        </c:title>
        <c:numFmt formatCode="0_);[Red]\(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573590551"/>
        <c:crosses val="autoZero"/>
        <c:crossBetween val="between"/>
      </c:valAx>
      <c:catAx>
        <c:axId val="42459962"/>
        <c:scaling>
          <c:orientation val="minMax"/>
        </c:scaling>
        <c:delete val="1"/>
        <c:axPos val="b"/>
        <c:majorTickMark val="out"/>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5113419"/>
        <c:crosses val="autoZero"/>
        <c:auto val="1"/>
        <c:lblAlgn val="ctr"/>
        <c:lblOffset val="100"/>
        <c:noMultiLvlLbl val="0"/>
      </c:catAx>
      <c:valAx>
        <c:axId val="855113419"/>
        <c:scaling>
          <c:orientation val="minMax"/>
        </c:scaling>
        <c:delete val="0"/>
        <c:axPos val="r"/>
        <c:numFmt formatCode="0%" sourceLinked="0"/>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42459962"/>
        <c:crosses val="max"/>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Entry>
      <c:layout>
        <c:manualLayout>
          <c:xMode val="edge"/>
          <c:yMode val="edge"/>
          <c:x val="0.130086684324585"/>
          <c:y val="0.91107300342969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935109668224"/>
          <c:y val="0.0891697628987578"/>
          <c:w val="0.776118721461187"/>
          <c:h val="0.732268518518518"/>
        </c:manualLayout>
      </c:layout>
      <c:barChart>
        <c:barDir val="col"/>
        <c:grouping val="clustered"/>
        <c:varyColors val="0"/>
        <c:ser>
          <c:idx val="0"/>
          <c:order val="0"/>
          <c:tx>
            <c:strRef>
              <c:f>[越南.xlsx]Sheet4!$H$4</c:f>
              <c:strCache>
                <c:ptCount val="1"/>
                <c:pt idx="0">
                  <c:v>中方协议投资</c:v>
                </c:pt>
              </c:strCache>
            </c:strRef>
          </c:tx>
          <c:spPr>
            <a:solidFill>
              <a:schemeClr val="accent1"/>
            </a:solidFill>
            <a:ln>
              <a:noFill/>
            </a:ln>
            <a:effectLst/>
          </c:spPr>
          <c:invertIfNegative val="0"/>
          <c:dLbls>
            <c:dLbl>
              <c:idx val="0"/>
              <c:layout>
                <c:manualLayout>
                  <c:x val="-0.0509393063583815"/>
                  <c:y val="-0.003184713375796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3013228809407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[越南.xlsx]Sheet4!$C$5:$C$9</c:f>
              <c:strCache>
                <c:ptCount val="5"/>
                <c:pt idx="0">
                  <c:v>2021年</c:v>
                </c:pt>
                <c:pt idx="1">
                  <c:v>2022年</c:v>
                </c:pt>
                <c:pt idx="2">
                  <c:v>2023年</c:v>
                </c:pt>
                <c:pt idx="3">
                  <c:v>2024年</c:v>
                </c:pt>
                <c:pt idx="4">
                  <c:v>2025年</c:v>
                </c:pt>
              </c:strCache>
            </c:strRef>
          </c:cat>
          <c:val>
            <c:numRef>
              <c:f>[越南.xlsx]Sheet4!$H$5:$H$9</c:f>
              <c:numCache>
                <c:formatCode>0.0_ </c:formatCode>
                <c:ptCount val="5"/>
                <c:pt idx="0">
                  <c:v>3.73091</c:v>
                </c:pt>
                <c:pt idx="1">
                  <c:v>7.00263</c:v>
                </c:pt>
                <c:pt idx="2">
                  <c:v>16.6633</c:v>
                </c:pt>
                <c:pt idx="3">
                  <c:v>17.3316</c:v>
                </c:pt>
                <c:pt idx="4">
                  <c:v>14.4429</c:v>
                </c:pt>
              </c:numCache>
            </c:numRef>
          </c:val>
        </c:ser>
        <c:dLbls>
          <c:showLegendKey val="0"/>
          <c:showVal val="1"/>
          <c:showCatName val="0"/>
          <c:showSerName val="0"/>
          <c:showPercent val="0"/>
          <c:showBubbleSize val="0"/>
        </c:dLbls>
        <c:gapWidth val="219"/>
        <c:overlap val="-27"/>
        <c:axId val="979014604"/>
        <c:axId val="997799137"/>
      </c:barChart>
      <c:lineChart>
        <c:grouping val="standard"/>
        <c:varyColors val="0"/>
        <c:ser>
          <c:idx val="1"/>
          <c:order val="1"/>
          <c:tx>
            <c:strRef>
              <c:f>[越南.xlsx]Sheet4!$I$4</c:f>
              <c:strCache>
                <c:ptCount val="1"/>
                <c:pt idx="0">
                  <c:v>同比</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0.0032514450867052"/>
                  <c:y val="0.043606075453209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8747591522158"/>
                  <c:y val="-0.003429691327780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18825058727269"/>
                  <c:y val="0.099740051173172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[越南.xlsx]Sheet4!$C$5:$C$9</c:f>
              <c:strCache>
                <c:ptCount val="5"/>
                <c:pt idx="0">
                  <c:v>2021年</c:v>
                </c:pt>
                <c:pt idx="1">
                  <c:v>2022年</c:v>
                </c:pt>
                <c:pt idx="2">
                  <c:v>2023年</c:v>
                </c:pt>
                <c:pt idx="3">
                  <c:v>2024年</c:v>
                </c:pt>
                <c:pt idx="4">
                  <c:v>2025年</c:v>
                </c:pt>
              </c:strCache>
            </c:strRef>
          </c:cat>
          <c:val>
            <c:numRef>
              <c:f>[越南.xlsx]Sheet4!$I$5:$I$9</c:f>
              <c:numCache>
                <c:formatCode>0.0%</c:formatCode>
                <c:ptCount val="5"/>
                <c:pt idx="0">
                  <c:v>-0.0422</c:v>
                </c:pt>
                <c:pt idx="1">
                  <c:v>0.8769</c:v>
                </c:pt>
                <c:pt idx="2">
                  <c:v>1.3796</c:v>
                </c:pt>
                <c:pt idx="3">
                  <c:v>0.0401</c:v>
                </c:pt>
                <c:pt idx="4">
                  <c:v>-0.1667</c:v>
                </c:pt>
              </c:numCache>
            </c:numRef>
          </c:val>
          <c:smooth val="0"/>
        </c:ser>
        <c:ser>
          <c:idx val="2"/>
          <c:order val="2"/>
          <c:tx>
            <c:strRef>
              <c:f>[越南.xlsx]Sheet4!$J$4</c:f>
              <c:strCache>
                <c:ptCount val="1"/>
                <c:pt idx="0">
                  <c:v>占江苏总额比重</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1"/>
              <c:layout>
                <c:manualLayout>
                  <c:x val="0.0606936416184971"/>
                  <c:y val="-0.026702596766291"/>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623795761078998"/>
                  <c:y val="0.0166585007349339"/>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771917148362235"/>
                  <c:y val="0"/>
                </c:manualLayout>
              </c:layout>
              <c:dLblPos val="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591281310211946"/>
                  <c:y val="0.0100440960313572"/>
                </c:manualLayout>
              </c:layout>
              <c:dLblPos val="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[越南.xlsx]Sheet4!$C$5:$C$9</c:f>
              <c:strCache>
                <c:ptCount val="5"/>
                <c:pt idx="0">
                  <c:v>2021年</c:v>
                </c:pt>
                <c:pt idx="1">
                  <c:v>2022年</c:v>
                </c:pt>
                <c:pt idx="2">
                  <c:v>2023年</c:v>
                </c:pt>
                <c:pt idx="3">
                  <c:v>2024年</c:v>
                </c:pt>
                <c:pt idx="4">
                  <c:v>2025年</c:v>
                </c:pt>
              </c:strCache>
            </c:strRef>
          </c:cat>
          <c:val>
            <c:numRef>
              <c:f>[越南.xlsx]Sheet4!$J$5:$J$9</c:f>
              <c:numCache>
                <c:formatCode>0.0%</c:formatCode>
                <c:ptCount val="5"/>
                <c:pt idx="0">
                  <c:v>0.0559</c:v>
                </c:pt>
                <c:pt idx="1">
                  <c:v>0.0724</c:v>
                </c:pt>
                <c:pt idx="2">
                  <c:v>0.1493</c:v>
                </c:pt>
                <c:pt idx="3">
                  <c:v>0.1468</c:v>
                </c:pt>
                <c:pt idx="4">
                  <c:v>0.1555</c:v>
                </c:pt>
              </c:numCache>
            </c:numRef>
          </c:val>
          <c:smooth val="0"/>
        </c:ser>
        <c:dLbls>
          <c:showLegendKey val="0"/>
          <c:showVal val="1"/>
          <c:showCatName val="0"/>
          <c:showSerName val="0"/>
          <c:showPercent val="0"/>
          <c:showBubbleSize val="0"/>
        </c:dLbls>
        <c:marker val="1"/>
        <c:smooth val="0"/>
        <c:axId val="429527839"/>
        <c:axId val="465626707"/>
      </c:lineChart>
      <c:catAx>
        <c:axId val="9790146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997799137"/>
        <c:crosses val="autoZero"/>
        <c:auto val="1"/>
        <c:lblAlgn val="ctr"/>
        <c:lblOffset val="100"/>
        <c:noMultiLvlLbl val="0"/>
      </c:catAx>
      <c:valAx>
        <c:axId val="99779913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0" vertOverflow="ellipsis" vert="eaVert" wrap="square" anchor="ctr" anchorCtr="1"/>
              <a:lstStyle/>
              <a:p>
                <a:pPr defTabSz="914400">
                  <a:defRPr lang="zh-CN" sz="1000" b="0" i="0" u="none" strike="noStrike" kern="1200" baseline="0">
                    <a:solidFill>
                      <a:sysClr val="windowText" lastClr="000000"/>
                    </a:solidFill>
                    <a:latin typeface="+mn-lt"/>
                    <a:ea typeface="+mn-ea"/>
                    <a:cs typeface="+mn-cs"/>
                  </a:defRPr>
                </a:pPr>
                <a:r>
                  <a:rPr>
                    <a:solidFill>
                      <a:sysClr val="windowText" lastClr="000000"/>
                    </a:solidFill>
                  </a:rPr>
                  <a:t>单位：亿美元</a:t>
                </a:r>
                <a:endParaRPr>
                  <a:solidFill>
                    <a:sysClr val="windowText" lastClr="000000"/>
                  </a:solidFill>
                </a:endParaRPr>
              </a:p>
            </c:rich>
          </c:tx>
          <c:layout>
            <c:manualLayout>
              <c:xMode val="edge"/>
              <c:yMode val="edge"/>
              <c:x val="0.020551574418666"/>
              <c:y val="0.292745178569443"/>
            </c:manualLayout>
          </c:layout>
          <c:overlay val="0"/>
          <c:spPr>
            <a:noFill/>
            <a:ln>
              <a:noFill/>
            </a:ln>
            <a:effectLst/>
          </c:spPr>
        </c:title>
        <c:numFmt formatCode="0_);[Red]\(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979014604"/>
        <c:crosses val="autoZero"/>
        <c:crossBetween val="between"/>
      </c:valAx>
      <c:catAx>
        <c:axId val="429527839"/>
        <c:scaling>
          <c:orientation val="minMax"/>
        </c:scaling>
        <c:delete val="1"/>
        <c:axPos val="b"/>
        <c:majorTickMark val="out"/>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5626707"/>
        <c:crosses val="autoZero"/>
        <c:auto val="1"/>
        <c:lblAlgn val="ctr"/>
        <c:lblOffset val="100"/>
        <c:noMultiLvlLbl val="0"/>
      </c:catAx>
      <c:valAx>
        <c:axId val="465626707"/>
        <c:scaling>
          <c:orientation val="minMax"/>
        </c:scaling>
        <c:delete val="0"/>
        <c:axPos val="r"/>
        <c:numFmt formatCode="0%" sourceLinked="0"/>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429527839"/>
        <c:crosses val="max"/>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Entry>
      <c:layout>
        <c:manualLayout>
          <c:xMode val="edge"/>
          <c:yMode val="edge"/>
          <c:x val="0.262986111111111"/>
          <c:y val="0.91597222222222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305</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2026-08-27T06:58:00Z</dcterms:created>
  <dc:creator>PC</dc:creator>
  <cp:lastModifiedBy>刘舒亚</cp:lastModifiedBy>
  <cp:lastPrinted>2026-09-23T01:16:00Z</cp:lastPrinted>
  <dcterms:modified xsi:type="dcterms:W3CDTF">2026-09-30T05:44:45Z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