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7" w:lineRule="exact"/>
        <w:ind w:firstLine="640" w:firstLineChars="200"/>
        <w:rPr>
          <w:rFonts w:ascii="方正仿宋_GBK" w:eastAsia="方正仿宋_GBK"/>
          <w:color w:val="auto"/>
          <w:sz w:val="32"/>
          <w:szCs w:val="32"/>
        </w:rPr>
      </w:pPr>
    </w:p>
    <w:p>
      <w:pPr>
        <w:spacing w:line="587" w:lineRule="exact"/>
        <w:ind w:firstLine="640" w:firstLineChars="200"/>
        <w:rPr>
          <w:rFonts w:ascii="方正仿宋_GBK" w:eastAsia="方正仿宋_GBK"/>
          <w:color w:val="auto"/>
          <w:sz w:val="32"/>
          <w:szCs w:val="32"/>
        </w:rPr>
      </w:pPr>
    </w:p>
    <w:p>
      <w:pPr>
        <w:spacing w:line="587" w:lineRule="exact"/>
        <w:ind w:firstLine="1320" w:firstLineChars="300"/>
        <w:jc w:val="both"/>
        <w:rPr>
          <w:rFonts w:ascii="方正小标宋_GBK" w:eastAsia="方正小标宋_GBK"/>
          <w:color w:val="auto"/>
          <w:sz w:val="44"/>
          <w:szCs w:val="44"/>
        </w:rPr>
      </w:pPr>
      <w:r>
        <w:rPr>
          <w:rFonts w:hint="eastAsia" w:ascii="方正小标宋_GBK" w:eastAsia="方正小标宋_GBK"/>
          <w:color w:val="auto"/>
          <w:sz w:val="44"/>
          <w:szCs w:val="44"/>
        </w:rPr>
        <w:t>江苏“十五五”口岸发展规划</w:t>
      </w:r>
    </w:p>
    <w:p>
      <w:pPr>
        <w:spacing w:line="587" w:lineRule="exact"/>
        <w:ind w:firstLine="2880" w:firstLineChars="900"/>
        <w:jc w:val="both"/>
        <w:rPr>
          <w:rFonts w:hint="eastAsia" w:ascii="方正楷体_GBK" w:eastAsia="方正楷体_GBK"/>
          <w:color w:val="auto"/>
          <w:sz w:val="32"/>
          <w:szCs w:val="32"/>
          <w:lang w:eastAsia="zh-CN"/>
        </w:rPr>
      </w:pPr>
      <w:r>
        <w:rPr>
          <w:rFonts w:hint="eastAsia" w:ascii="方正楷体_GBK" w:eastAsia="方正楷体_GBK"/>
          <w:color w:val="auto"/>
          <w:sz w:val="32"/>
          <w:szCs w:val="32"/>
          <w:lang w:eastAsia="zh-CN"/>
        </w:rPr>
        <w:t>（征求意见稿）</w:t>
      </w:r>
    </w:p>
    <w:p>
      <w:pPr>
        <w:pStyle w:val="2"/>
        <w:rPr>
          <w:rFonts w:hint="eastAsia"/>
          <w:lang w:eastAsia="zh-CN"/>
        </w:rPr>
      </w:pPr>
    </w:p>
    <w:p>
      <w:pPr>
        <w:spacing w:line="587" w:lineRule="exact"/>
        <w:rPr>
          <w:rFonts w:ascii="Times New Roman" w:hAnsi="Times New Roman" w:eastAsia="方正黑体_GBK" w:cs="Times New Roman"/>
          <w:snapToGrid w:val="0"/>
          <w:color w:val="auto"/>
          <w:kern w:val="0"/>
          <w:sz w:val="28"/>
          <w:szCs w:val="28"/>
          <w14:ligatures w14:val="none"/>
        </w:rPr>
      </w:pPr>
      <w:r>
        <w:rPr>
          <w:rFonts w:hint="eastAsia" w:ascii="Times New Roman" w:hAnsi="Times New Roman" w:eastAsia="方正仿宋_GBK" w:cs="Times New Roman"/>
          <w:snapToGrid w:val="0"/>
          <w:color w:val="auto"/>
          <w:kern w:val="0"/>
          <w:sz w:val="32"/>
          <w:szCs w:val="32"/>
          <w14:ligatures w14:val="none"/>
        </w:rPr>
        <w:t xml:space="preserve">    </w:t>
      </w:r>
      <w:r>
        <w:rPr>
          <w:rFonts w:ascii="Times New Roman" w:hAnsi="Times New Roman" w:eastAsia="方正仿宋_GBK" w:cs="Times New Roman"/>
          <w:snapToGrid w:val="0"/>
          <w:color w:val="auto"/>
          <w:kern w:val="0"/>
          <w:sz w:val="32"/>
          <w:szCs w:val="32"/>
          <w14:ligatures w14:val="none"/>
        </w:rPr>
        <w:t>江苏省面积10.72万平方公里，水域面积占全省面积的16.9%</w:t>
      </w:r>
      <w:r>
        <w:rPr>
          <w:rFonts w:hint="eastAsia" w:ascii="Times New Roman" w:hAnsi="Times New Roman" w:eastAsia="方正仿宋_GBK" w:cs="Times New Roman"/>
          <w:snapToGrid w:val="0"/>
          <w:color w:val="auto"/>
          <w:kern w:val="0"/>
          <w:sz w:val="32"/>
          <w:szCs w:val="32"/>
          <w14:ligatures w14:val="none"/>
        </w:rPr>
        <w:t xml:space="preserve"> ，</w:t>
      </w:r>
      <w:r>
        <w:rPr>
          <w:rFonts w:ascii="Times New Roman" w:hAnsi="Times New Roman" w:eastAsia="方正仿宋_GBK" w:cs="Times New Roman"/>
          <w:snapToGrid w:val="0"/>
          <w:color w:val="auto"/>
          <w:kern w:val="0"/>
          <w:sz w:val="32"/>
          <w:szCs w:val="32"/>
          <w14:ligatures w14:val="none"/>
        </w:rPr>
        <w:t>通江达海，拥有海岸线954公里，分布于连云港、盐城和南通三市，长度约占全国海岸线的1/10；长江江苏段全长418公里，以1/7的长江航道里程承担全线70%的运能，素有长江</w:t>
      </w:r>
      <w:r>
        <w:rPr>
          <w:rFonts w:hint="eastAsia" w:ascii="Times New Roman" w:hAnsi="Times New Roman" w:eastAsia="方正仿宋_GBK" w:cs="Times New Roman"/>
          <w:snapToGrid w:val="0"/>
          <w:color w:val="auto"/>
          <w:kern w:val="0"/>
          <w:sz w:val="32"/>
          <w:szCs w:val="32"/>
          <w14:ligatures w14:val="none"/>
        </w:rPr>
        <w:t>“</w:t>
      </w:r>
      <w:r>
        <w:rPr>
          <w:rFonts w:ascii="Times New Roman" w:hAnsi="Times New Roman" w:eastAsia="方正仿宋_GBK" w:cs="Times New Roman"/>
          <w:snapToGrid w:val="0"/>
          <w:color w:val="auto"/>
          <w:kern w:val="0"/>
          <w:sz w:val="32"/>
          <w:szCs w:val="32"/>
          <w14:ligatures w14:val="none"/>
        </w:rPr>
        <w:t>黄金水道</w:t>
      </w:r>
      <w:r>
        <w:rPr>
          <w:rFonts w:hint="eastAsia" w:ascii="Times New Roman" w:hAnsi="Times New Roman" w:eastAsia="方正仿宋_GBK" w:cs="Times New Roman"/>
          <w:snapToGrid w:val="0"/>
          <w:color w:val="auto"/>
          <w:kern w:val="0"/>
          <w:sz w:val="32"/>
          <w:szCs w:val="32"/>
          <w14:ligatures w14:val="none"/>
        </w:rPr>
        <w:t>”</w:t>
      </w:r>
      <w:r>
        <w:rPr>
          <w:rFonts w:ascii="Times New Roman" w:hAnsi="Times New Roman" w:eastAsia="方正仿宋_GBK" w:cs="Times New Roman"/>
          <w:snapToGrid w:val="0"/>
          <w:color w:val="auto"/>
          <w:kern w:val="0"/>
          <w:sz w:val="32"/>
          <w:szCs w:val="32"/>
          <w14:ligatures w14:val="none"/>
        </w:rPr>
        <w:t>之称。丰富的海岸线和得天独厚的长江岸线资源，为江苏开设口岸、发展经济提供了优越的自然条件。</w:t>
      </w:r>
    </w:p>
    <w:p>
      <w:pPr>
        <w:spacing w:line="587" w:lineRule="exact"/>
        <w:ind w:firstLine="640" w:firstLineChars="200"/>
        <w:rPr>
          <w:rFonts w:ascii="Times New Roman" w:hAnsi="Times New Roman" w:eastAsia="方正仿宋_GBK" w:cs="Times New Roman"/>
          <w:color w:val="auto"/>
          <w:sz w:val="32"/>
          <w:szCs w:val="32"/>
          <w14:ligatures w14:val="none"/>
        </w:rPr>
      </w:pPr>
      <w:r>
        <w:rPr>
          <w:rFonts w:ascii="Times New Roman" w:hAnsi="Times New Roman" w:eastAsia="方正仿宋_GBK" w:cs="Times New Roman"/>
          <w:snapToGrid w:val="0"/>
          <w:color w:val="auto"/>
          <w:sz w:val="32"/>
          <w:szCs w:val="32"/>
          <w14:ligatures w14:val="none"/>
        </w:rPr>
        <w:t>目前，全省形成了全方位、立体式口岸对外开放格局。拥有</w:t>
      </w:r>
      <w:r>
        <w:rPr>
          <w:rFonts w:hint="eastAsia" w:ascii="Times New Roman" w:hAnsi="Times New Roman" w:eastAsia="方正仿宋_GBK" w:cs="Times New Roman"/>
          <w:snapToGrid w:val="0"/>
          <w:color w:val="auto"/>
          <w:sz w:val="32"/>
          <w:szCs w:val="32"/>
          <w14:ligatures w14:val="none"/>
        </w:rPr>
        <w:t>经国务院</w:t>
      </w:r>
      <w:r>
        <w:rPr>
          <w:rFonts w:ascii="Times New Roman" w:hAnsi="Times New Roman" w:eastAsia="方正仿宋_GBK" w:cs="Times New Roman"/>
          <w:snapToGrid w:val="0"/>
          <w:color w:val="auto"/>
          <w:sz w:val="32"/>
          <w:szCs w:val="32"/>
          <w14:ligatures w14:val="none"/>
        </w:rPr>
        <w:t>批准</w:t>
      </w:r>
      <w:r>
        <w:rPr>
          <w:rFonts w:hint="eastAsia" w:ascii="Times New Roman" w:hAnsi="Times New Roman" w:eastAsia="方正仿宋_GBK" w:cs="Times New Roman"/>
          <w:snapToGrid w:val="0"/>
          <w:color w:val="auto"/>
          <w:sz w:val="32"/>
          <w:szCs w:val="32"/>
          <w14:ligatures w14:val="none"/>
        </w:rPr>
        <w:t>开放</w:t>
      </w:r>
      <w:r>
        <w:rPr>
          <w:rFonts w:ascii="Times New Roman" w:hAnsi="Times New Roman" w:eastAsia="方正仿宋_GBK" w:cs="Times New Roman"/>
          <w:color w:val="auto"/>
          <w:sz w:val="32"/>
          <w:szCs w:val="32"/>
          <w14:ligatures w14:val="none"/>
        </w:rPr>
        <w:t>的口岸26个，其中空运口岸9个，分别是南京空运口岸（禄口国际机场）、无锡空运口岸（硕放国际机场）、徐州空运口岸（观音国际机场）、常州空运口岸（奔牛国际机场）、南通空运口岸（兴东国际机场）、连云港空运口岸（花果山国际机场）、淮安空运口岸（涟水国际机场）、盐城空运口岸（南洋国际机场）、</w:t>
      </w:r>
      <w:r>
        <w:rPr>
          <w:rFonts w:hint="eastAsia" w:ascii="Times New Roman" w:hAnsi="Times New Roman" w:eastAsia="方正仿宋_GBK" w:cs="Times New Roman"/>
          <w:color w:val="auto"/>
          <w:sz w:val="32"/>
          <w:szCs w:val="32"/>
          <w14:ligatures w14:val="none"/>
        </w:rPr>
        <w:t>扬州泰州</w:t>
      </w:r>
      <w:r>
        <w:rPr>
          <w:rFonts w:ascii="Times New Roman" w:hAnsi="Times New Roman" w:eastAsia="方正仿宋_GBK" w:cs="Times New Roman"/>
          <w:color w:val="auto"/>
          <w:sz w:val="32"/>
          <w:szCs w:val="32"/>
          <w14:ligatures w14:val="none"/>
        </w:rPr>
        <w:t>空运口岸（</w:t>
      </w:r>
      <w:r>
        <w:rPr>
          <w:rFonts w:hint="eastAsia" w:ascii="Times New Roman" w:hAnsi="Times New Roman" w:eastAsia="方正仿宋_GBK" w:cs="Times New Roman"/>
          <w:color w:val="auto"/>
          <w:sz w:val="32"/>
          <w:szCs w:val="32"/>
          <w14:ligatures w14:val="none"/>
        </w:rPr>
        <w:t>扬州泰州</w:t>
      </w:r>
      <w:r>
        <w:rPr>
          <w:rFonts w:ascii="Times New Roman" w:hAnsi="Times New Roman" w:eastAsia="方正仿宋_GBK" w:cs="Times New Roman"/>
          <w:color w:val="auto"/>
          <w:sz w:val="32"/>
          <w:szCs w:val="32"/>
          <w14:ligatures w14:val="none"/>
        </w:rPr>
        <w:t>国际机场）；沿海水运口岸5个，分别是南通如东水运（海港）口岸、南通启东水运（海港）口岸、连云港水运（海港）口岸、盐城大丰水运（海港）口岸、盐城水运（海港）口岸；沿江水运口岸12个，分别是南京水运（河港）口岸、无锡江阴水运（河港）口岸、常州水运（河港）口岸、苏州张家港水运（河港）口岸、苏州太仓水运（河港）口岸、苏州常熟水运（河港）口岸、南通水运（河港）口岸、南通如皋水运（河港）口岸、扬州水运（河港）口岸、镇江水运（河港）口岸、泰州水运（河港）口岸、泰州靖江水运（河港）口岸。</w:t>
      </w:r>
    </w:p>
    <w:p>
      <w:pPr>
        <w:spacing w:line="587" w:lineRule="exact"/>
        <w:rPr>
          <w:rFonts w:ascii="方正黑体_GBK" w:eastAsia="方正黑体_GBK"/>
          <w:color w:val="auto"/>
          <w:sz w:val="32"/>
          <w:szCs w:val="32"/>
        </w:rPr>
      </w:pPr>
      <w:r>
        <w:rPr>
          <w:rFonts w:hint="eastAsia" w:ascii="方正黑体_GBK" w:eastAsia="方正黑体_GBK"/>
          <w:color w:val="auto"/>
          <w:sz w:val="32"/>
          <w:szCs w:val="32"/>
        </w:rPr>
        <w:t xml:space="preserve">    一、“十四五”发展成效</w:t>
      </w:r>
    </w:p>
    <w:p>
      <w:pPr>
        <w:spacing w:line="587" w:lineRule="exact"/>
        <w:rPr>
          <w:rFonts w:ascii="方正楷体_GBK" w:hAnsi="Times New Roman" w:eastAsia="方正楷体_GBK" w:cs="Times New Roman"/>
          <w:color w:val="auto"/>
          <w:sz w:val="32"/>
          <w:szCs w:val="32"/>
        </w:rPr>
      </w:pPr>
      <w:r>
        <w:rPr>
          <w:rFonts w:hint="eastAsia" w:ascii="方正楷体_GBK" w:hAnsi="Times New Roman" w:eastAsia="方正楷体_GBK" w:cs="Times New Roman"/>
          <w:color w:val="auto"/>
          <w:sz w:val="32"/>
          <w:szCs w:val="32"/>
        </w:rPr>
        <w:t xml:space="preserve">    （一）口岸</w:t>
      </w:r>
      <w:r>
        <w:rPr>
          <w:rFonts w:ascii="方正楷体_GBK" w:hAnsi="Times New Roman" w:eastAsia="方正楷体_GBK" w:cs="Times New Roman"/>
          <w:color w:val="auto"/>
          <w:sz w:val="32"/>
          <w:szCs w:val="32"/>
        </w:rPr>
        <w:t>规模与布局</w:t>
      </w:r>
      <w:r>
        <w:rPr>
          <w:rFonts w:hint="eastAsia" w:ascii="方正楷体_GBK" w:hAnsi="Times New Roman" w:eastAsia="方正楷体_GBK" w:cs="Times New Roman"/>
          <w:color w:val="auto"/>
          <w:sz w:val="32"/>
          <w:szCs w:val="32"/>
        </w:rPr>
        <w:t>方面</w:t>
      </w:r>
    </w:p>
    <w:p>
      <w:pPr>
        <w:spacing w:line="587" w:lineRule="exact"/>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14:ligatures w14:val="none"/>
        </w:rPr>
        <w:t xml:space="preserve">    </w:t>
      </w:r>
      <w:r>
        <w:rPr>
          <w:rFonts w:ascii="Times New Roman" w:hAnsi="Times New Roman" w:eastAsia="方正仿宋_GBK" w:cs="Times New Roman"/>
          <w:color w:val="auto"/>
          <w:sz w:val="32"/>
          <w:szCs w:val="32"/>
          <w14:ligatures w14:val="none"/>
        </w:rPr>
        <w:t>深入推进优江拓海，强化水空港联动机制，整体运行态势持续向好。</w:t>
      </w:r>
      <w:r>
        <w:rPr>
          <w:rFonts w:hint="eastAsia" w:ascii="Times New Roman" w:hAnsi="Times New Roman" w:eastAsia="方正仿宋_GBK" w:cs="Times New Roman"/>
          <w:color w:val="auto"/>
          <w:sz w:val="32"/>
          <w:szCs w:val="32"/>
          <w14:ligatures w14:val="none"/>
        </w:rPr>
        <w:t>截至2025年1</w:t>
      </w:r>
      <w:r>
        <w:rPr>
          <w:rFonts w:ascii="Times New Roman" w:hAnsi="Times New Roman" w:eastAsia="方正仿宋_GBK" w:cs="Times New Roman"/>
          <w:color w:val="auto"/>
          <w:sz w:val="32"/>
          <w:szCs w:val="32"/>
          <w:lang w:val="en"/>
          <w14:ligatures w14:val="none"/>
        </w:rPr>
        <w:t>0</w:t>
      </w:r>
      <w:r>
        <w:rPr>
          <w:rFonts w:hint="eastAsia" w:ascii="Times New Roman" w:hAnsi="Times New Roman" w:eastAsia="方正仿宋_GBK" w:cs="Times New Roman"/>
          <w:color w:val="auto"/>
          <w:sz w:val="32"/>
          <w:szCs w:val="32"/>
          <w14:ligatures w14:val="none"/>
        </w:rPr>
        <w:t>月底，全省水运口岸完成外贸吞吐量</w:t>
      </w:r>
      <w:r>
        <w:rPr>
          <w:rFonts w:ascii="Times New Roman" w:hAnsi="Times New Roman" w:eastAsia="方正仿宋_GBK" w:cs="Times New Roman"/>
          <w:color w:val="auto"/>
          <w:sz w:val="32"/>
          <w:szCs w:val="32"/>
          <w:lang w:val="en"/>
          <w14:ligatures w14:val="none"/>
        </w:rPr>
        <w:t>5.89</w:t>
      </w:r>
      <w:r>
        <w:rPr>
          <w:rFonts w:hint="eastAsia" w:ascii="Times New Roman" w:hAnsi="Times New Roman" w:eastAsia="方正仿宋_GBK" w:cs="Times New Roman"/>
          <w:color w:val="auto"/>
          <w:sz w:val="32"/>
          <w:szCs w:val="32"/>
          <w14:ligatures w14:val="none"/>
        </w:rPr>
        <w:t>亿吨、外贸集装箱吞吐量</w:t>
      </w:r>
      <w:r>
        <w:rPr>
          <w:rFonts w:ascii="Times New Roman" w:hAnsi="Times New Roman" w:eastAsia="方正仿宋_GBK" w:cs="Times New Roman"/>
          <w:color w:val="auto"/>
          <w:sz w:val="32"/>
          <w:szCs w:val="32"/>
          <w:lang w:val="en"/>
          <w14:ligatures w14:val="none"/>
        </w:rPr>
        <w:t>1070.5</w:t>
      </w:r>
      <w:r>
        <w:rPr>
          <w:rFonts w:hint="eastAsia" w:ascii="Times New Roman" w:hAnsi="Times New Roman" w:eastAsia="方正仿宋_GBK" w:cs="Times New Roman"/>
          <w:color w:val="auto"/>
          <w:sz w:val="32"/>
          <w:szCs w:val="32"/>
          <w14:ligatures w14:val="none"/>
        </w:rPr>
        <w:t>万标箱，同比分别增长</w:t>
      </w:r>
      <w:r>
        <w:rPr>
          <w:rFonts w:ascii="Times New Roman" w:hAnsi="Times New Roman" w:eastAsia="方正仿宋_GBK" w:cs="Times New Roman"/>
          <w:color w:val="auto"/>
          <w:sz w:val="32"/>
          <w:szCs w:val="32"/>
          <w:lang w:val="en"/>
          <w14:ligatures w14:val="none"/>
        </w:rPr>
        <w:t>5.68</w:t>
      </w:r>
      <w:r>
        <w:rPr>
          <w:rFonts w:hint="eastAsia" w:ascii="Times New Roman" w:hAnsi="Times New Roman" w:eastAsia="方正仿宋_GBK" w:cs="Times New Roman"/>
          <w:color w:val="auto"/>
          <w:sz w:val="32"/>
          <w:szCs w:val="32"/>
          <w14:ligatures w14:val="none"/>
        </w:rPr>
        <w:t>%、</w:t>
      </w:r>
      <w:r>
        <w:rPr>
          <w:rFonts w:ascii="Times New Roman" w:hAnsi="Times New Roman" w:eastAsia="方正仿宋_GBK" w:cs="Times New Roman"/>
          <w:color w:val="auto"/>
          <w:sz w:val="32"/>
          <w:szCs w:val="32"/>
          <w:lang w:val="en"/>
          <w14:ligatures w14:val="none"/>
        </w:rPr>
        <w:t>2.63</w:t>
      </w:r>
      <w:r>
        <w:rPr>
          <w:rFonts w:hint="eastAsia" w:ascii="Times New Roman" w:hAnsi="Times New Roman" w:eastAsia="方正仿宋_GBK" w:cs="Times New Roman"/>
          <w:color w:val="auto"/>
          <w:sz w:val="32"/>
          <w:szCs w:val="32"/>
          <w14:ligatures w14:val="none"/>
        </w:rPr>
        <w:t>%，较“十三五”末分别增长</w:t>
      </w:r>
      <w:r>
        <w:rPr>
          <w:rFonts w:ascii="Times New Roman" w:hAnsi="Times New Roman" w:eastAsia="方正仿宋_GBK" w:cs="Times New Roman"/>
          <w:color w:val="auto"/>
          <w:sz w:val="32"/>
          <w:szCs w:val="32"/>
          <w:lang w:val="en"/>
          <w14:ligatures w14:val="none"/>
        </w:rPr>
        <w:t>27.92</w:t>
      </w:r>
      <w:r>
        <w:rPr>
          <w:rFonts w:hint="eastAsia" w:ascii="Times New Roman" w:hAnsi="Times New Roman" w:eastAsia="方正仿宋_GBK" w:cs="Times New Roman"/>
          <w:color w:val="auto"/>
          <w:sz w:val="32"/>
          <w:szCs w:val="32"/>
          <w14:ligatures w14:val="none"/>
        </w:rPr>
        <w:t>%、</w:t>
      </w:r>
      <w:r>
        <w:rPr>
          <w:rFonts w:ascii="Times New Roman" w:hAnsi="Times New Roman" w:eastAsia="方正仿宋_GBK" w:cs="Times New Roman"/>
          <w:color w:val="auto"/>
          <w:sz w:val="32"/>
          <w:szCs w:val="32"/>
          <w:lang w:val="en"/>
          <w14:ligatures w14:val="none"/>
        </w:rPr>
        <w:t>62.48</w:t>
      </w:r>
      <w:r>
        <w:rPr>
          <w:rFonts w:hint="eastAsia" w:ascii="Times New Roman" w:hAnsi="Times New Roman" w:eastAsia="方正仿宋_GBK" w:cs="Times New Roman"/>
          <w:color w:val="auto"/>
          <w:sz w:val="32"/>
          <w:szCs w:val="32"/>
          <w14:ligatures w14:val="none"/>
        </w:rPr>
        <w:t>%。空运口岸完成出入境旅客</w:t>
      </w:r>
      <w:r>
        <w:rPr>
          <w:rFonts w:ascii="Times New Roman" w:hAnsi="Times New Roman" w:eastAsia="方正仿宋_GBK" w:cs="Times New Roman"/>
          <w:color w:val="auto"/>
          <w:sz w:val="32"/>
          <w:szCs w:val="32"/>
          <w:lang w:val="en"/>
          <w14:ligatures w14:val="none"/>
        </w:rPr>
        <w:t>354.95</w:t>
      </w:r>
      <w:r>
        <w:rPr>
          <w:rFonts w:hint="eastAsia" w:ascii="Times New Roman" w:hAnsi="Times New Roman" w:eastAsia="方正仿宋_GBK" w:cs="Times New Roman"/>
          <w:color w:val="auto"/>
          <w:sz w:val="32"/>
          <w:szCs w:val="32"/>
          <w14:ligatures w14:val="none"/>
        </w:rPr>
        <w:t>万人次、外贸货邮量</w:t>
      </w:r>
      <w:r>
        <w:rPr>
          <w:rFonts w:ascii="Times New Roman" w:hAnsi="Times New Roman" w:eastAsia="方正仿宋_GBK" w:cs="Times New Roman"/>
          <w:color w:val="auto"/>
          <w:sz w:val="32"/>
          <w:szCs w:val="32"/>
          <w:lang w:val="en"/>
          <w14:ligatures w14:val="none"/>
        </w:rPr>
        <w:t>11.61</w:t>
      </w:r>
      <w:r>
        <w:rPr>
          <w:rFonts w:hint="eastAsia" w:ascii="Times New Roman" w:hAnsi="Times New Roman" w:eastAsia="方正仿宋_GBK" w:cs="Times New Roman"/>
          <w:color w:val="auto"/>
          <w:sz w:val="32"/>
          <w:szCs w:val="32"/>
          <w14:ligatures w14:val="none"/>
        </w:rPr>
        <w:t>万吨，同比分别增长</w:t>
      </w:r>
      <w:r>
        <w:rPr>
          <w:rFonts w:ascii="Times New Roman" w:hAnsi="Times New Roman" w:eastAsia="方正仿宋_GBK" w:cs="Times New Roman"/>
          <w:color w:val="auto"/>
          <w:sz w:val="32"/>
          <w:szCs w:val="32"/>
          <w:lang w:val="en"/>
          <w14:ligatures w14:val="none"/>
        </w:rPr>
        <w:t>3.09</w:t>
      </w:r>
      <w:r>
        <w:rPr>
          <w:rFonts w:hint="eastAsia" w:ascii="Times New Roman" w:hAnsi="Times New Roman" w:eastAsia="方正仿宋_GBK" w:cs="Times New Roman"/>
          <w:color w:val="auto"/>
          <w:sz w:val="32"/>
          <w:szCs w:val="32"/>
          <w14:ligatures w14:val="none"/>
        </w:rPr>
        <w:t>%、</w:t>
      </w:r>
      <w:r>
        <w:rPr>
          <w:rFonts w:ascii="Times New Roman" w:hAnsi="Times New Roman" w:eastAsia="方正仿宋_GBK" w:cs="Times New Roman"/>
          <w:color w:val="auto"/>
          <w:sz w:val="32"/>
          <w:szCs w:val="32"/>
          <w:lang w:val="en"/>
          <w14:ligatures w14:val="none"/>
        </w:rPr>
        <w:t>35.09</w:t>
      </w:r>
      <w:r>
        <w:rPr>
          <w:rFonts w:hint="eastAsia" w:ascii="Times New Roman" w:hAnsi="Times New Roman" w:eastAsia="方正仿宋_GBK" w:cs="Times New Roman"/>
          <w:color w:val="auto"/>
          <w:sz w:val="32"/>
          <w:szCs w:val="32"/>
          <w14:ligatures w14:val="none"/>
        </w:rPr>
        <w:t>%，较“十三五”末分别增长</w:t>
      </w:r>
      <w:r>
        <w:rPr>
          <w:rFonts w:ascii="Times New Roman" w:hAnsi="Times New Roman" w:eastAsia="方正仿宋_GBK" w:cs="Times New Roman"/>
          <w:color w:val="auto"/>
          <w:sz w:val="32"/>
          <w:szCs w:val="32"/>
          <w:lang w:val="en"/>
          <w14:ligatures w14:val="none"/>
        </w:rPr>
        <w:t>463.17</w:t>
      </w:r>
      <w:r>
        <w:rPr>
          <w:rFonts w:hint="eastAsia" w:ascii="Times New Roman" w:hAnsi="Times New Roman" w:eastAsia="方正仿宋_GBK" w:cs="Times New Roman"/>
          <w:color w:val="auto"/>
          <w:sz w:val="32"/>
          <w:szCs w:val="32"/>
          <w14:ligatures w14:val="none"/>
        </w:rPr>
        <w:t>%、</w:t>
      </w:r>
      <w:r>
        <w:rPr>
          <w:rFonts w:ascii="Times New Roman" w:hAnsi="Times New Roman" w:eastAsia="方正仿宋_GBK" w:cs="Times New Roman"/>
          <w:color w:val="auto"/>
          <w:sz w:val="32"/>
          <w:szCs w:val="32"/>
          <w:lang w:val="en"/>
          <w14:ligatures w14:val="none"/>
        </w:rPr>
        <w:t>55.21</w:t>
      </w:r>
      <w:r>
        <w:rPr>
          <w:rFonts w:hint="eastAsia" w:ascii="Times New Roman" w:hAnsi="Times New Roman" w:eastAsia="方正仿宋_GBK" w:cs="Times New Roman"/>
          <w:color w:val="auto"/>
          <w:sz w:val="32"/>
          <w:szCs w:val="32"/>
          <w14:ligatures w14:val="none"/>
        </w:rPr>
        <w:t>%。其中，</w:t>
      </w:r>
      <w:r>
        <w:rPr>
          <w:rFonts w:hint="eastAsia" w:ascii="Times New Roman" w:hAnsi="Times New Roman" w:eastAsia="方正仿宋_GBK" w:cs="Times New Roman"/>
          <w:b/>
          <w:bCs/>
          <w:color w:val="auto"/>
          <w:sz w:val="32"/>
          <w:szCs w:val="32"/>
          <w14:ligatures w14:val="none"/>
        </w:rPr>
        <w:t>水运口岸方面，</w:t>
      </w:r>
      <w:r>
        <w:rPr>
          <w:rFonts w:hint="eastAsia" w:ascii="Times New Roman" w:hAnsi="Times New Roman" w:eastAsia="方正仿宋_GBK" w:cs="Times New Roman"/>
          <w:color w:val="auto"/>
          <w:sz w:val="32"/>
          <w:szCs w:val="32"/>
          <w14:ligatures w14:val="none"/>
        </w:rPr>
        <w:t>连云港水运口岸</w:t>
      </w:r>
      <w:r>
        <w:rPr>
          <w:rFonts w:ascii="Times New Roman" w:hAnsi="Times New Roman" w:eastAsia="方正仿宋_GBK" w:cs="Times New Roman"/>
          <w:color w:val="auto"/>
          <w:sz w:val="32"/>
          <w:szCs w:val="32"/>
          <w14:ligatures w14:val="none"/>
        </w:rPr>
        <w:t>、</w:t>
      </w:r>
      <w:r>
        <w:rPr>
          <w:rFonts w:hint="eastAsia" w:ascii="Times New Roman" w:hAnsi="Times New Roman" w:eastAsia="方正仿宋_GBK" w:cs="Times New Roman"/>
          <w:color w:val="auto"/>
          <w:sz w:val="32"/>
          <w:szCs w:val="32"/>
          <w14:ligatures w14:val="none"/>
        </w:rPr>
        <w:t>苏州太仓水运口岸</w:t>
      </w:r>
      <w:r>
        <w:rPr>
          <w:rFonts w:ascii="Times New Roman" w:hAnsi="Times New Roman" w:eastAsia="方正仿宋_GBK" w:cs="Times New Roman"/>
          <w:color w:val="auto"/>
          <w:sz w:val="32"/>
          <w:szCs w:val="32"/>
          <w14:ligatures w14:val="none"/>
        </w:rPr>
        <w:t>202</w:t>
      </w:r>
      <w:r>
        <w:rPr>
          <w:rFonts w:hint="eastAsia" w:ascii="Times New Roman" w:hAnsi="Times New Roman" w:eastAsia="方正仿宋_GBK" w:cs="Times New Roman"/>
          <w:color w:val="auto"/>
          <w:sz w:val="32"/>
          <w:szCs w:val="32"/>
          <w14:ligatures w14:val="none"/>
        </w:rPr>
        <w:t>5</w:t>
      </w:r>
      <w:r>
        <w:rPr>
          <w:rFonts w:ascii="Times New Roman" w:hAnsi="Times New Roman" w:eastAsia="方正仿宋_GBK" w:cs="Times New Roman"/>
          <w:color w:val="auto"/>
          <w:sz w:val="32"/>
          <w:szCs w:val="32"/>
          <w14:ligatures w14:val="none"/>
        </w:rPr>
        <w:t>年</w:t>
      </w:r>
      <w:r>
        <w:rPr>
          <w:rFonts w:hint="eastAsia" w:ascii="Times New Roman" w:hAnsi="Times New Roman" w:eastAsia="方正仿宋_GBK" w:cs="Times New Roman"/>
          <w:color w:val="auto"/>
          <w:sz w:val="32"/>
          <w:szCs w:val="32"/>
          <w14:ligatures w14:val="none"/>
        </w:rPr>
        <w:t>10月底前</w:t>
      </w:r>
      <w:r>
        <w:rPr>
          <w:rFonts w:ascii="Times New Roman" w:hAnsi="Times New Roman" w:eastAsia="方正仿宋_GBK" w:cs="Times New Roman"/>
          <w:color w:val="auto"/>
          <w:sz w:val="32"/>
          <w:szCs w:val="32"/>
          <w14:ligatures w14:val="none"/>
        </w:rPr>
        <w:t>外贸吞吐量较</w:t>
      </w:r>
      <w:r>
        <w:rPr>
          <w:rFonts w:hint="eastAsia" w:ascii="Times New Roman" w:hAnsi="Times New Roman" w:eastAsia="方正仿宋_GBK" w:cs="Times New Roman"/>
          <w:color w:val="auto"/>
          <w:sz w:val="32"/>
          <w:szCs w:val="32"/>
          <w14:ligatures w14:val="none"/>
        </w:rPr>
        <w:t>“</w:t>
      </w:r>
      <w:r>
        <w:rPr>
          <w:rFonts w:ascii="Times New Roman" w:hAnsi="Times New Roman" w:eastAsia="方正仿宋_GBK" w:cs="Times New Roman"/>
          <w:color w:val="auto"/>
          <w:sz w:val="32"/>
          <w:szCs w:val="32"/>
          <w14:ligatures w14:val="none"/>
        </w:rPr>
        <w:t>十三五</w:t>
      </w:r>
      <w:r>
        <w:rPr>
          <w:rFonts w:hint="eastAsia" w:ascii="Times New Roman" w:hAnsi="Times New Roman" w:eastAsia="方正仿宋_GBK" w:cs="Times New Roman"/>
          <w:color w:val="auto"/>
          <w:sz w:val="32"/>
          <w:szCs w:val="32"/>
          <w14:ligatures w14:val="none"/>
        </w:rPr>
        <w:t>”</w:t>
      </w:r>
      <w:r>
        <w:rPr>
          <w:rFonts w:ascii="Times New Roman" w:hAnsi="Times New Roman" w:eastAsia="方正仿宋_GBK" w:cs="Times New Roman"/>
          <w:color w:val="auto"/>
          <w:sz w:val="32"/>
          <w:szCs w:val="32"/>
          <w14:ligatures w14:val="none"/>
        </w:rPr>
        <w:t>末增量均超</w:t>
      </w:r>
      <w:r>
        <w:rPr>
          <w:rFonts w:hint="eastAsia" w:ascii="Times New Roman" w:hAnsi="Times New Roman" w:eastAsia="方正仿宋_GBK" w:cs="Times New Roman"/>
          <w:color w:val="auto"/>
          <w:sz w:val="32"/>
          <w:szCs w:val="32"/>
          <w14:ligatures w14:val="none"/>
        </w:rPr>
        <w:t>3900</w:t>
      </w:r>
      <w:r>
        <w:rPr>
          <w:rFonts w:ascii="Times New Roman" w:hAnsi="Times New Roman" w:eastAsia="方正仿宋_GBK" w:cs="Times New Roman"/>
          <w:color w:val="auto"/>
          <w:sz w:val="32"/>
          <w:szCs w:val="32"/>
          <w14:ligatures w14:val="none"/>
        </w:rPr>
        <w:t>万吨</w:t>
      </w:r>
      <w:r>
        <w:rPr>
          <w:rFonts w:hint="eastAsia" w:ascii="Times New Roman" w:hAnsi="Times New Roman" w:eastAsia="方正仿宋_GBK" w:cs="Times New Roman"/>
          <w:color w:val="auto"/>
          <w:sz w:val="32"/>
          <w:szCs w:val="32"/>
          <w14:ligatures w14:val="none"/>
        </w:rPr>
        <w:t>。同期，苏州太仓水运口岸</w:t>
      </w:r>
      <w:r>
        <w:rPr>
          <w:rFonts w:ascii="Times New Roman" w:hAnsi="Times New Roman" w:eastAsia="方正仿宋_GBK" w:cs="Times New Roman"/>
          <w:color w:val="auto"/>
          <w:sz w:val="32"/>
          <w:szCs w:val="32"/>
          <w14:ligatures w14:val="none"/>
        </w:rPr>
        <w:t>、</w:t>
      </w:r>
      <w:r>
        <w:rPr>
          <w:rFonts w:hint="eastAsia" w:ascii="Times New Roman" w:hAnsi="Times New Roman" w:eastAsia="方正仿宋_GBK" w:cs="Times New Roman"/>
          <w:color w:val="auto"/>
          <w:sz w:val="32"/>
          <w:szCs w:val="32"/>
          <w14:ligatures w14:val="none"/>
        </w:rPr>
        <w:t>连云港水运口岸</w:t>
      </w:r>
      <w:r>
        <w:rPr>
          <w:rFonts w:ascii="Times New Roman" w:hAnsi="Times New Roman" w:eastAsia="方正仿宋_GBK" w:cs="Times New Roman"/>
          <w:color w:val="auto"/>
          <w:sz w:val="32"/>
          <w:szCs w:val="32"/>
          <w14:ligatures w14:val="none"/>
        </w:rPr>
        <w:t>外贸集装箱吞吐量较</w:t>
      </w:r>
      <w:r>
        <w:rPr>
          <w:rFonts w:hint="eastAsia" w:ascii="Times New Roman" w:hAnsi="Times New Roman" w:eastAsia="方正仿宋_GBK" w:cs="Times New Roman"/>
          <w:color w:val="auto"/>
          <w:sz w:val="32"/>
          <w:szCs w:val="32"/>
          <w14:ligatures w14:val="none"/>
        </w:rPr>
        <w:t>“</w:t>
      </w:r>
      <w:r>
        <w:rPr>
          <w:rFonts w:ascii="Times New Roman" w:hAnsi="Times New Roman" w:eastAsia="方正仿宋_GBK" w:cs="Times New Roman"/>
          <w:color w:val="auto"/>
          <w:sz w:val="32"/>
          <w:szCs w:val="32"/>
          <w14:ligatures w14:val="none"/>
        </w:rPr>
        <w:t>十三五</w:t>
      </w:r>
      <w:r>
        <w:rPr>
          <w:rFonts w:hint="eastAsia" w:ascii="Times New Roman" w:hAnsi="Times New Roman" w:eastAsia="方正仿宋_GBK" w:cs="Times New Roman"/>
          <w:color w:val="auto"/>
          <w:sz w:val="32"/>
          <w:szCs w:val="32"/>
          <w14:ligatures w14:val="none"/>
        </w:rPr>
        <w:t>”</w:t>
      </w:r>
      <w:r>
        <w:rPr>
          <w:rFonts w:ascii="Times New Roman" w:hAnsi="Times New Roman" w:eastAsia="方正仿宋_GBK" w:cs="Times New Roman"/>
          <w:color w:val="auto"/>
          <w:sz w:val="32"/>
          <w:szCs w:val="32"/>
          <w14:ligatures w14:val="none"/>
        </w:rPr>
        <w:t>末增量均超</w:t>
      </w:r>
      <w:r>
        <w:rPr>
          <w:rFonts w:hint="eastAsia" w:ascii="Times New Roman" w:hAnsi="Times New Roman" w:eastAsia="方正仿宋_GBK" w:cs="Times New Roman"/>
          <w:color w:val="auto"/>
          <w:sz w:val="32"/>
          <w:szCs w:val="32"/>
          <w14:ligatures w14:val="none"/>
        </w:rPr>
        <w:t>100</w:t>
      </w:r>
      <w:r>
        <w:rPr>
          <w:rFonts w:ascii="Times New Roman" w:hAnsi="Times New Roman" w:eastAsia="方正仿宋_GBK" w:cs="Times New Roman"/>
          <w:color w:val="auto"/>
          <w:sz w:val="32"/>
          <w:szCs w:val="32"/>
          <w14:ligatures w14:val="none"/>
        </w:rPr>
        <w:t>万标箱</w:t>
      </w:r>
      <w:r>
        <w:rPr>
          <w:rFonts w:hint="eastAsia" w:ascii="Times New Roman" w:hAnsi="Times New Roman" w:eastAsia="方正仿宋_GBK" w:cs="Times New Roman"/>
          <w:color w:val="auto"/>
          <w:sz w:val="32"/>
          <w:szCs w:val="32"/>
          <w14:ligatures w14:val="none"/>
        </w:rPr>
        <w:t>。</w:t>
      </w:r>
      <w:r>
        <w:rPr>
          <w:rFonts w:ascii="Times New Roman" w:hAnsi="Times New Roman" w:eastAsia="方正仿宋_GBK" w:cs="Times New Roman"/>
          <w:b/>
          <w:bCs/>
          <w:color w:val="auto"/>
          <w:sz w:val="32"/>
          <w:szCs w:val="32"/>
        </w:rPr>
        <w:t>空运口岸方面</w:t>
      </w:r>
      <w:r>
        <w:rPr>
          <w:rFonts w:hint="eastAsia" w:ascii="Times New Roman" w:hAnsi="Times New Roman" w:eastAsia="方正仿宋_GBK" w:cs="Times New Roman"/>
          <w:b/>
          <w:bCs/>
          <w:color w:val="auto"/>
          <w:sz w:val="32"/>
          <w:szCs w:val="32"/>
        </w:rPr>
        <w:t>，</w:t>
      </w:r>
      <w:r>
        <w:rPr>
          <w:rFonts w:ascii="Times New Roman" w:hAnsi="Times New Roman" w:eastAsia="方正仿宋_GBK" w:cs="Times New Roman"/>
          <w:color w:val="auto"/>
          <w:sz w:val="32"/>
          <w:szCs w:val="32"/>
        </w:rPr>
        <w:t>提升南京禄口机场国际航空货运枢纽能级，打造无锡硕放机场、南通机场面向特定区域、重点产业的区域航空枢纽功能</w:t>
      </w:r>
      <w:r>
        <w:rPr>
          <w:rFonts w:hint="eastAsia" w:ascii="Times New Roman" w:hAnsi="Times New Roman" w:eastAsia="方正仿宋_GBK" w:cs="Times New Roman"/>
          <w:color w:val="auto"/>
          <w:sz w:val="32"/>
          <w:szCs w:val="32"/>
        </w:rPr>
        <w:t>。截至2025年10月底，</w:t>
      </w:r>
      <w:r>
        <w:rPr>
          <w:rFonts w:ascii="Times New Roman" w:hAnsi="Times New Roman" w:eastAsia="方正仿宋_GBK" w:cs="Times New Roman"/>
          <w:color w:val="auto"/>
          <w:sz w:val="32"/>
          <w:szCs w:val="32"/>
        </w:rPr>
        <w:t>南京</w:t>
      </w:r>
      <w:r>
        <w:rPr>
          <w:rFonts w:hint="eastAsia" w:ascii="Times New Roman" w:hAnsi="Times New Roman" w:eastAsia="方正仿宋_GBK" w:cs="Times New Roman"/>
          <w:color w:val="auto"/>
          <w:sz w:val="32"/>
          <w:szCs w:val="32"/>
        </w:rPr>
        <w:t>空运口岸累计</w:t>
      </w:r>
      <w:r>
        <w:rPr>
          <w:rFonts w:ascii="Times New Roman" w:hAnsi="Times New Roman" w:eastAsia="方正仿宋_GBK" w:cs="Times New Roman"/>
          <w:color w:val="auto"/>
          <w:sz w:val="32"/>
          <w:szCs w:val="32"/>
        </w:rPr>
        <w:t>出入境旅客</w:t>
      </w:r>
      <w:r>
        <w:rPr>
          <w:rFonts w:hint="eastAsia" w:ascii="Times New Roman" w:hAnsi="Times New Roman" w:eastAsia="方正仿宋_GBK" w:cs="Times New Roman"/>
          <w:color w:val="auto"/>
          <w:sz w:val="32"/>
          <w:szCs w:val="32"/>
        </w:rPr>
        <w:t>247.78</w:t>
      </w:r>
      <w:r>
        <w:rPr>
          <w:rFonts w:ascii="Times New Roman" w:hAnsi="Times New Roman" w:eastAsia="方正仿宋_GBK" w:cs="Times New Roman"/>
          <w:color w:val="auto"/>
          <w:sz w:val="32"/>
          <w:szCs w:val="32"/>
        </w:rPr>
        <w:t>万人次</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外贸货邮量</w:t>
      </w:r>
      <w:r>
        <w:rPr>
          <w:rFonts w:hint="eastAsia" w:ascii="Times New Roman" w:hAnsi="Times New Roman" w:eastAsia="方正仿宋_GBK" w:cs="Times New Roman"/>
          <w:color w:val="auto"/>
          <w:sz w:val="32"/>
          <w:szCs w:val="32"/>
        </w:rPr>
        <w:t>7.65</w:t>
      </w:r>
      <w:r>
        <w:rPr>
          <w:rFonts w:ascii="Times New Roman" w:hAnsi="Times New Roman" w:eastAsia="方正仿宋_GBK" w:cs="Times New Roman"/>
          <w:color w:val="auto"/>
          <w:sz w:val="32"/>
          <w:szCs w:val="32"/>
        </w:rPr>
        <w:t>万吨，较</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末，</w:t>
      </w:r>
      <w:r>
        <w:rPr>
          <w:rFonts w:hint="eastAsia" w:ascii="Times New Roman" w:hAnsi="Times New Roman" w:eastAsia="方正仿宋_GBK" w:cs="Times New Roman"/>
          <w:color w:val="auto"/>
          <w:sz w:val="32"/>
          <w:szCs w:val="32"/>
        </w:rPr>
        <w:t>均有</w:t>
      </w:r>
      <w:r>
        <w:rPr>
          <w:rFonts w:ascii="Times New Roman" w:hAnsi="Times New Roman" w:eastAsia="方正仿宋_GBK" w:cs="Times New Roman"/>
          <w:color w:val="auto"/>
          <w:sz w:val="32"/>
          <w:szCs w:val="32"/>
        </w:rPr>
        <w:t>显著增长，出入境旅客数量增长</w:t>
      </w:r>
      <w:r>
        <w:rPr>
          <w:rFonts w:hint="eastAsia" w:ascii="Times New Roman" w:hAnsi="Times New Roman" w:eastAsia="方正仿宋_GBK" w:cs="Times New Roman"/>
          <w:color w:val="auto"/>
          <w:sz w:val="32"/>
          <w:szCs w:val="32"/>
        </w:rPr>
        <w:t>208.92</w:t>
      </w:r>
      <w:r>
        <w:rPr>
          <w:rFonts w:ascii="Times New Roman" w:hAnsi="Times New Roman" w:eastAsia="方正仿宋_GBK" w:cs="Times New Roman"/>
          <w:color w:val="auto"/>
          <w:sz w:val="32"/>
          <w:szCs w:val="32"/>
        </w:rPr>
        <w:t>万人次，外贸货邮量增加</w:t>
      </w:r>
      <w:r>
        <w:rPr>
          <w:rFonts w:hint="eastAsia" w:ascii="Times New Roman" w:hAnsi="Times New Roman" w:eastAsia="方正仿宋_GBK" w:cs="Times New Roman"/>
          <w:color w:val="auto"/>
          <w:sz w:val="32"/>
          <w:szCs w:val="32"/>
        </w:rPr>
        <w:t>3.08</w:t>
      </w:r>
      <w:r>
        <w:rPr>
          <w:rFonts w:ascii="Times New Roman" w:hAnsi="Times New Roman" w:eastAsia="方正仿宋_GBK" w:cs="Times New Roman"/>
          <w:color w:val="auto"/>
          <w:sz w:val="32"/>
          <w:szCs w:val="32"/>
        </w:rPr>
        <w:t>万吨。同期，无锡空运口岸出入境旅客</w:t>
      </w:r>
      <w:r>
        <w:rPr>
          <w:rFonts w:hint="eastAsia" w:ascii="Times New Roman" w:hAnsi="Times New Roman" w:eastAsia="方正仿宋_GBK" w:cs="Times New Roman"/>
          <w:color w:val="auto"/>
          <w:sz w:val="32"/>
          <w:szCs w:val="32"/>
        </w:rPr>
        <w:t>76.63</w:t>
      </w:r>
      <w:r>
        <w:rPr>
          <w:rFonts w:ascii="Times New Roman" w:hAnsi="Times New Roman" w:eastAsia="方正仿宋_GBK" w:cs="Times New Roman"/>
          <w:color w:val="auto"/>
          <w:sz w:val="32"/>
          <w:szCs w:val="32"/>
        </w:rPr>
        <w:t>万人次</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外贸货邮量</w:t>
      </w:r>
      <w:r>
        <w:rPr>
          <w:rFonts w:hint="eastAsia" w:ascii="Times New Roman" w:hAnsi="Times New Roman" w:eastAsia="方正仿宋_GBK" w:cs="Times New Roman"/>
          <w:color w:val="auto"/>
          <w:sz w:val="32"/>
          <w:szCs w:val="32"/>
        </w:rPr>
        <w:t>2.77</w:t>
      </w:r>
      <w:r>
        <w:rPr>
          <w:rFonts w:ascii="Times New Roman" w:hAnsi="Times New Roman" w:eastAsia="方正仿宋_GBK" w:cs="Times New Roman"/>
          <w:color w:val="auto"/>
          <w:sz w:val="32"/>
          <w:szCs w:val="32"/>
        </w:rPr>
        <w:t>万吨，与</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末相比，增加</w:t>
      </w:r>
      <w:r>
        <w:rPr>
          <w:rFonts w:hint="eastAsia" w:ascii="Times New Roman" w:hAnsi="Times New Roman" w:eastAsia="方正仿宋_GBK" w:cs="Times New Roman"/>
          <w:color w:val="auto"/>
          <w:sz w:val="32"/>
          <w:szCs w:val="32"/>
        </w:rPr>
        <w:t>67.87</w:t>
      </w:r>
      <w:r>
        <w:rPr>
          <w:rFonts w:ascii="Times New Roman" w:hAnsi="Times New Roman" w:eastAsia="方正仿宋_GBK" w:cs="Times New Roman"/>
          <w:color w:val="auto"/>
          <w:sz w:val="32"/>
          <w:szCs w:val="32"/>
        </w:rPr>
        <w:t>万人次、</w:t>
      </w:r>
      <w:r>
        <w:rPr>
          <w:rFonts w:hint="eastAsia" w:ascii="Times New Roman" w:hAnsi="Times New Roman" w:eastAsia="方正仿宋_GBK" w:cs="Times New Roman"/>
          <w:color w:val="auto"/>
          <w:sz w:val="32"/>
          <w:szCs w:val="32"/>
        </w:rPr>
        <w:t>0.99</w:t>
      </w:r>
      <w:r>
        <w:rPr>
          <w:rFonts w:ascii="Times New Roman" w:hAnsi="Times New Roman" w:eastAsia="方正仿宋_GBK" w:cs="Times New Roman"/>
          <w:color w:val="auto"/>
          <w:sz w:val="32"/>
          <w:szCs w:val="32"/>
        </w:rPr>
        <w:t>万吨。</w:t>
      </w:r>
    </w:p>
    <w:p>
      <w:pPr>
        <w:spacing w:line="587" w:lineRule="exact"/>
        <w:rPr>
          <w:rFonts w:ascii="方正楷体_GBK" w:hAnsi="Times New Roman" w:eastAsia="方正楷体_GBK" w:cs="Times New Roman"/>
          <w:color w:val="auto"/>
          <w:sz w:val="32"/>
          <w:szCs w:val="32"/>
        </w:rPr>
      </w:pPr>
      <w:r>
        <w:rPr>
          <w:rFonts w:hint="eastAsia" w:ascii="方正楷体_GBK" w:hAnsi="Times New Roman" w:eastAsia="方正楷体_GBK" w:cs="Times New Roman"/>
          <w:color w:val="auto"/>
          <w:sz w:val="32"/>
          <w:szCs w:val="32"/>
        </w:rPr>
        <w:t xml:space="preserve">    （二）口岸信息化建设方面</w:t>
      </w:r>
    </w:p>
    <w:p>
      <w:pPr>
        <w:spacing w:line="587" w:lineRule="exact"/>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w:t>
      </w:r>
      <w:r>
        <w:rPr>
          <w:rFonts w:ascii="Times New Roman" w:hAnsi="Times New Roman" w:eastAsia="方正仿宋_GBK" w:cs="Times New Roman"/>
          <w:color w:val="auto"/>
          <w:sz w:val="32"/>
          <w:szCs w:val="32"/>
        </w:rPr>
        <w:t>出台《关于促进全省口岸数字化转型的实施意见》，鼓励各地因地制宜、先行先试，加速建设设施智能化、服务便利化、监管高效化的数字化口岸。2023年12月，太仓、连云港水运口岸获批国家首批智慧口岸建设试点。</w:t>
      </w:r>
      <w:r>
        <w:rPr>
          <w:rFonts w:hint="eastAsia" w:ascii="Times New Roman" w:hAnsi="Times New Roman" w:eastAsia="方正仿宋_GBK" w:cs="Times New Roman"/>
          <w:color w:val="auto"/>
          <w:sz w:val="32"/>
          <w:szCs w:val="32"/>
        </w:rPr>
        <w:t>太仓水运口岸以“智慧赋能、数据驱动、全域协同”为核心，打造“跨场景”协同作业、“跨部门”联合监管、“跨区域”联动合作的多维度智慧协同模式，实现口岸物流效能与监管精度双优化；连云港水运口岸依托“政府统筹、监管联动、企业主导、市场参与”的政企协同共建机制，构建“底座+平台+通道+生态”四位一体的智慧口岸体系，提升了口岸综合治理和服务效能。两地相关经验做法被国家口岸办《口岸简讯》智慧口岸专刊宣传推广，太仓水运口岸被《中国国门时报》刊登报道。</w:t>
      </w:r>
      <w:r>
        <w:rPr>
          <w:rFonts w:ascii="Times New Roman" w:hAnsi="Times New Roman" w:eastAsia="方正仿宋_GBK" w:cs="Times New Roman"/>
          <w:color w:val="auto"/>
          <w:sz w:val="32"/>
          <w:szCs w:val="32"/>
        </w:rPr>
        <w:t>贯彻落实海关总署等9部门和单位《关于智慧口岸建设的指导意见》（署岸发〔2024〕89号）精神，梳理总结31个具有创新性、实效性、示范性的智慧口岸建设案例，覆盖苏南苏中苏北全域，初步形成以点带面、分类推进、持续提升的良好发展局面。高标准完成国家“单一窗口”标准版试点推广，积极探索江苏特色应用拓展，开发全国首个连接商务部EDI系统的服务贸易综合平台，上线航空物流公共服务平台、江苏中欧班列专区、苏州专窗、FTA智慧应用公共服务平台、海关惠企政策管理等江苏特色应用，为进出口企业及代理企业提供货物申报、运输工具申报等28类、130余项免费在线服务，有效满足外贸企业“一站式”“全链路”业务办理需求，提升全省跨境贸易便利化水平。截至2025年</w:t>
      </w:r>
      <w:r>
        <w:rPr>
          <w:rFonts w:hint="eastAsia" w:ascii="Times New Roman" w:hAnsi="Times New Roman" w:eastAsia="方正仿宋_GBK" w:cs="Times New Roman"/>
          <w:color w:val="auto"/>
          <w:sz w:val="32"/>
          <w:szCs w:val="32"/>
        </w:rPr>
        <w:t>10</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rPr>
        <w:t>底</w:t>
      </w:r>
      <w:r>
        <w:rPr>
          <w:rFonts w:ascii="Times New Roman" w:hAnsi="Times New Roman" w:eastAsia="方正仿宋_GBK" w:cs="Times New Roman"/>
          <w:color w:val="auto"/>
          <w:sz w:val="32"/>
          <w:szCs w:val="32"/>
        </w:rPr>
        <w:t>，江苏国际贸易“单一窗口”累计为</w:t>
      </w:r>
      <w:r>
        <w:rPr>
          <w:rFonts w:hint="eastAsia" w:ascii="Times New Roman" w:hAnsi="Times New Roman" w:eastAsia="方正仿宋_GBK" w:cs="Times New Roman"/>
          <w:color w:val="auto"/>
          <w:sz w:val="32"/>
          <w:szCs w:val="32"/>
        </w:rPr>
        <w:t>19.07</w:t>
      </w:r>
      <w:r>
        <w:rPr>
          <w:rFonts w:ascii="Times New Roman" w:hAnsi="Times New Roman" w:eastAsia="方正仿宋_GBK" w:cs="Times New Roman"/>
          <w:color w:val="auto"/>
          <w:sz w:val="32"/>
          <w:szCs w:val="32"/>
        </w:rPr>
        <w:t>万家企业提供各类申报服务超过</w:t>
      </w:r>
      <w:r>
        <w:rPr>
          <w:rFonts w:hint="eastAsia" w:ascii="Times New Roman" w:hAnsi="Times New Roman" w:eastAsia="方正仿宋_GBK" w:cs="Times New Roman"/>
          <w:color w:val="auto"/>
          <w:sz w:val="32"/>
          <w:szCs w:val="32"/>
        </w:rPr>
        <w:t>1.56</w:t>
      </w:r>
      <w:r>
        <w:rPr>
          <w:rFonts w:ascii="Times New Roman" w:hAnsi="Times New Roman" w:eastAsia="方正仿宋_GBK" w:cs="Times New Roman"/>
          <w:color w:val="auto"/>
          <w:sz w:val="32"/>
          <w:szCs w:val="32"/>
        </w:rPr>
        <w:t>亿单，累计为企业节省成本约</w:t>
      </w:r>
      <w:r>
        <w:rPr>
          <w:rFonts w:hint="eastAsia" w:ascii="Times New Roman" w:hAnsi="Times New Roman" w:eastAsia="方正仿宋_GBK" w:cs="Times New Roman"/>
          <w:color w:val="auto"/>
          <w:sz w:val="32"/>
          <w:szCs w:val="32"/>
        </w:rPr>
        <w:t>8.77</w:t>
      </w:r>
      <w:r>
        <w:rPr>
          <w:rFonts w:ascii="Times New Roman" w:hAnsi="Times New Roman" w:eastAsia="方正仿宋_GBK" w:cs="Times New Roman"/>
          <w:color w:val="auto"/>
          <w:sz w:val="32"/>
          <w:szCs w:val="32"/>
        </w:rPr>
        <w:t>亿元。</w:t>
      </w:r>
    </w:p>
    <w:p>
      <w:pPr>
        <w:spacing w:line="587" w:lineRule="exact"/>
        <w:rPr>
          <w:rFonts w:ascii="方正楷体_GBK" w:hAnsi="Times New Roman" w:eastAsia="方正楷体_GBK" w:cs="Times New Roman"/>
          <w:color w:val="auto"/>
          <w:sz w:val="32"/>
          <w:szCs w:val="32"/>
        </w:rPr>
      </w:pPr>
      <w:r>
        <w:rPr>
          <w:rFonts w:hint="eastAsia" w:ascii="方正楷体_GBK" w:hAnsi="Times New Roman" w:eastAsia="方正楷体_GBK" w:cs="Times New Roman"/>
          <w:color w:val="auto"/>
          <w:sz w:val="32"/>
          <w:szCs w:val="32"/>
        </w:rPr>
        <w:t xml:space="preserve">    （三）口岸功能和运行质效方面</w:t>
      </w:r>
    </w:p>
    <w:p>
      <w:pPr>
        <w:spacing w:line="587" w:lineRule="exact"/>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立足具有世界聚合力的双向开放枢纽建设，推动盐城水运口岸响水港区、射阳港区、连云港水运口岸徐圩港区和连云港空运口岸扩大开放顺利通过省级预验收、国家验收并正式对外公布。指定监管场地持续规模拓展，目前省内共有进境粮食、水果、食用水生动物、冰鲜水产品、植物种苗、原木、肉类等各类型指定监管场地82处，口岸开放功能进一步提升。“十四五”期间，加大国际及港澳台航线开辟力度，助推航空客货运航线拓展，截至2025年10月底全省空运口岸累计开通国际航线76条（其中，洲际航线14条、亚洲航线62条），进一步提升口岸通达能力，实现供应链稳定通畅、自主可控。加速推进苏州（太仓）集装箱干线港的建设步伐，打造集装箱内贸枢纽、近洋直达中心和远洋中转基地，目前苏州港航线覆盖近洋日本、韩国、俄罗斯、东南亚等250个主要港口。外贸集装箱铁路运输恢复德国汉堡、杜伊斯堡和意大利米兰等远欧线路，首开南京、徐州跨里海线路，重启南通至阿富汗海拉顿线路，有力推动中阿经贸合作，受到外交部亚洲司肯定表扬。全省稳定开行至欧洲、中亚、东南亚等地区的线路已达153条，通道线路不断拓展。</w:t>
      </w:r>
    </w:p>
    <w:p>
      <w:pPr>
        <w:spacing w:line="587" w:lineRule="exact"/>
        <w:rPr>
          <w:color w:val="auto"/>
        </w:rPr>
      </w:pPr>
      <w:r>
        <w:rPr>
          <w:rFonts w:hint="eastAsia" w:ascii="方正楷体_GBK" w:hAnsi="Times New Roman" w:eastAsia="方正楷体_GBK" w:cs="Times New Roman"/>
          <w:color w:val="auto"/>
          <w:sz w:val="32"/>
          <w:szCs w:val="32"/>
        </w:rPr>
        <w:t xml:space="preserve">    （四）口岸营商环境方面</w:t>
      </w:r>
    </w:p>
    <w:p>
      <w:pPr>
        <w:spacing w:line="587" w:lineRule="exact"/>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坚持试点引领，推动南京、无锡、盐城入围国家跨境贸易便利化专项行动试点城市，发挥辐射带动作用，突出江苏特色实效，推动专项行动“走在前、做示范”。建立生物医药研发用物品进口“白名单”制度等改革创新，探索硕放、禄口空运口岸机坪“直装”“直提”，截至2025年10月底，开展作业260批次，重量633.09吨，货值1.28亿美元。在全面推广“船边直提”“抵港直装”模式的基础上，进一步探索扩大适用商品和企业范围。扩大“信用承诺、容缺办理”范围，国际航行船舶出口岸“急简申报、快办快出”，相关案例入选2023年全国行政审批服务类信用承诺优秀案例“50强”。支持跨境电商发展，全国首批试点开展B2B出口业务，研究出台涉及跨境电商的“临时入境许可办理、机组边检手续办理、货船边检手续办理、货机清仓、人员通关、服务发展”等工作措施，提高口岸通关效率。“</w:t>
      </w:r>
      <w:r>
        <w:rPr>
          <w:rFonts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期间，累计保障超8亿吨能源资源产品高效进口，平均通关时长压缩80%，为企业节约费用成本超10亿元。全力支持</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新三样</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水路口岸出口，为载运新能源产品的船舶量身打造全程服务保障机制，引导企业办理</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提前申报</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手续，协调并确保</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专用框架</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运输模式的顺畅运行，设立企业协调员</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制定信用培育方案，优化检验监管流程，针对多批次、同一企业、同一产品实施集中检验、集中出证，有效提高监管效率，节省企业仓储物流成本，助力我省新能源产业加速走向全球市场。</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新三样</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出口水水中转</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一地申报，全程通用</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，每单可为企业压缩申报时间96小时，每箱节约物流成本2000-3000元。</w:t>
      </w:r>
    </w:p>
    <w:p>
      <w:pPr>
        <w:spacing w:line="587" w:lineRule="exact"/>
        <w:rPr>
          <w:color w:val="auto"/>
        </w:rPr>
      </w:pPr>
      <w:r>
        <w:rPr>
          <w:rFonts w:hint="eastAsia" w:ascii="方正楷体_GBK" w:hAnsi="Times New Roman" w:eastAsia="方正楷体_GBK" w:cs="Times New Roman"/>
          <w:color w:val="auto"/>
          <w:sz w:val="32"/>
          <w:szCs w:val="32"/>
        </w:rPr>
        <w:t xml:space="preserve">    （五）口岸安全发展方面</w:t>
      </w:r>
    </w:p>
    <w:p>
      <w:pPr>
        <w:spacing w:line="587" w:lineRule="exact"/>
        <w:ind w:firstLine="640" w:firstLineChars="200"/>
        <w:rPr>
          <w:rFonts w:ascii="Times New Roman" w:hAnsi="Times New Roman" w:eastAsia="方正仿宋_GBK" w:cs="Times New Roman"/>
          <w:b/>
          <w:bCs/>
          <w:color w:val="auto"/>
          <w:kern w:val="0"/>
          <w:sz w:val="32"/>
          <w:szCs w:val="32"/>
        </w:rPr>
      </w:pPr>
      <w:r>
        <w:rPr>
          <w:rFonts w:hint="eastAsia" w:ascii="Times New Roman" w:hAnsi="Times New Roman" w:eastAsia="方正仿宋_GBK" w:cs="Times New Roman"/>
          <w:color w:val="auto"/>
          <w:sz w:val="32"/>
          <w:szCs w:val="32"/>
        </w:rPr>
        <w:t>推动以口岸新安全格局服务保障构建新发展格局，全面贯彻总体国家安全观，统筹口岸发展和安全，严密风险防控，严格口岸管理，严守安全底线，以一失万无的警醒确保万无一失的安全。健全完善上下贯通、左右协同的全省口岸管理体制，配齐配强各级口岸管理队伍。</w:t>
      </w:r>
      <w:r>
        <w:rPr>
          <w:rFonts w:ascii="Times New Roman" w:hAnsi="Times New Roman" w:eastAsia="方正仿宋_GBK" w:cs="Times New Roman"/>
          <w:color w:val="auto"/>
          <w:kern w:val="0"/>
          <w:sz w:val="32"/>
          <w:szCs w:val="32"/>
        </w:rPr>
        <w:t>各地口岸管理部门与口岸查验单位密切配合，结合本地口岸特点，建立了安全管理、联合登临检查、口岸联席会议、口岸突发事件处置等运行机制，提升口岸应对突发事件的反应能力。地方口岸管理部门建立口岸安全联合防控、水上联合搜救等工作制度，配套制定设立指定监管场地必需的进境高风险动植物及其产品检疫风险联防联控制度，口岸服务国家区域发展战略更加有力，服务内外贸一体化的作用更加突出。</w:t>
      </w:r>
    </w:p>
    <w:p>
      <w:pPr>
        <w:spacing w:line="587" w:lineRule="exact"/>
        <w:rPr>
          <w:rFonts w:ascii="方正黑体_GBK" w:hAnsi="Times New Roman" w:eastAsia="方正黑体_GBK" w:cs="Times New Roman"/>
          <w:color w:val="auto"/>
          <w:sz w:val="32"/>
          <w:szCs w:val="32"/>
        </w:rPr>
      </w:pPr>
      <w:r>
        <w:rPr>
          <w:rFonts w:hint="eastAsia" w:ascii="方正黑体_GBK" w:hAnsi="Times New Roman" w:eastAsia="方正黑体_GBK" w:cs="Times New Roman"/>
          <w:color w:val="auto"/>
          <w:sz w:val="32"/>
          <w:szCs w:val="32"/>
        </w:rPr>
        <w:t xml:space="preserve">    二、“十五五”口岸发展形势</w:t>
      </w:r>
    </w:p>
    <w:p>
      <w:pPr>
        <w:spacing w:line="587" w:lineRule="exact"/>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rPr>
        <w:t xml:space="preserve">    （一）从国际看，</w:t>
      </w:r>
      <w:r>
        <w:rPr>
          <w:rFonts w:hint="eastAsia" w:ascii="Times New Roman" w:hAnsi="Times New Roman" w:eastAsia="方正仿宋_GBK" w:cs="Times New Roman"/>
          <w:color w:val="auto"/>
          <w:sz w:val="32"/>
          <w:szCs w:val="32"/>
        </w:rPr>
        <w:t>世界百年未有之大变局加速演进，世界进入新的动荡变革期，我国开放发展面临的外部环境复杂严峻，不稳定性和不确定性增强。关税战升级为科技战、金融战、地缘政治战、国际规则战、国际舆论战等全方位博弈是大概率事件，部分国家推动产业链“去风险化”和“本土化”，将对以江苏为代表的全球供应链重要节点造成冲击，稳定外贸增长的压力增大。另一方面，大国竞争加剧、地区冲突等不确定因素，可能导致关键航道安全风险上升、能源资源价格波动，直接影响江苏口岸的稳定运行。供应链安全上升为国家战略，江苏口岸需要服务于更富韧性和安全性的产业链供应链体系建设。</w:t>
      </w:r>
    </w:p>
    <w:p>
      <w:pPr>
        <w:spacing w:line="587" w:lineRule="exact"/>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rPr>
        <w:t xml:space="preserve">    （二）从国内看，</w:t>
      </w:r>
      <w:r>
        <w:rPr>
          <w:rFonts w:hint="eastAsia" w:ascii="Times New Roman" w:hAnsi="Times New Roman" w:eastAsia="方正仿宋_GBK" w:cs="Times New Roman"/>
          <w:color w:val="auto"/>
          <w:sz w:val="32"/>
          <w:szCs w:val="32"/>
        </w:rPr>
        <w:t>“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从国家战略角度看，长三角一体化发展国家战略进入深化阶段，要求江苏口岸与上海、浙江、安徽口岸实现更深层次的协同发展，在规则、标准、信息等方面加快一体化进程，共同打造世界级港口群和机场群。同时，“一带一路”交汇点建设、长江经济带发展等，都要求江苏口岸承担起更重要的枢纽门户功能。</w:t>
      </w:r>
    </w:p>
    <w:p>
      <w:pPr>
        <w:spacing w:line="587" w:lineRule="exact"/>
        <w:ind w:firstLine="640" w:firstLineChars="200"/>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rPr>
        <w:t>（三）从外省看，</w:t>
      </w:r>
      <w:r>
        <w:rPr>
          <w:rFonts w:hint="eastAsia" w:ascii="Times New Roman" w:hAnsi="Times New Roman" w:eastAsia="方正仿宋_GBK" w:cs="Times New Roman"/>
          <w:color w:val="auto"/>
          <w:sz w:val="32"/>
          <w:szCs w:val="32"/>
        </w:rPr>
        <w:t>江苏、广东、浙江、山东、上海等五个口岸大省（市）依托区位与产业优势，形成差异化发展路径：江苏江海联动打造“双循环”战略支点；广东以湾区协同支撑全球供应链；浙江以产业特色驱动数智升级；山东以多式联运构建陆海统筹新优势；上海以数字化引领国际枢纽建设，共同服务国家开放战略。虽各有特色，但江苏作为江海联动的“双循环”核心口岸，既是长江经济带与沿海开放带的战略交汇点，更是新亚欧陆海联运通道的关键枢纽，在国家“双循环”发展格局中承担着链接国内国际双市场的门户功能。</w:t>
      </w:r>
    </w:p>
    <w:p>
      <w:pPr>
        <w:spacing w:line="587" w:lineRule="exact"/>
        <w:rPr>
          <w:rFonts w:ascii="Times New Roman" w:hAnsi="Times New Roman" w:eastAsia="方正仿宋_GBK" w:cs="Times New Roman"/>
          <w:color w:val="auto"/>
          <w:sz w:val="32"/>
          <w:szCs w:val="32"/>
        </w:rPr>
      </w:pPr>
      <w:r>
        <w:rPr>
          <w:rFonts w:hint="eastAsia" w:ascii="方正楷体_GBK" w:hAnsi="Times New Roman" w:eastAsia="方正楷体_GBK" w:cs="Times New Roman"/>
          <w:color w:val="auto"/>
          <w:sz w:val="32"/>
          <w:szCs w:val="32"/>
        </w:rPr>
        <w:t xml:space="preserve">    （四）从自身看，</w:t>
      </w:r>
      <w:r>
        <w:rPr>
          <w:rFonts w:hint="eastAsia" w:ascii="Times New Roman" w:hAnsi="Times New Roman" w:eastAsia="方正仿宋_GBK" w:cs="Times New Roman"/>
          <w:color w:val="auto"/>
          <w:sz w:val="32"/>
          <w:szCs w:val="32"/>
        </w:rPr>
        <w:t>江苏口岸发展具备良好基础优势，拥有江海河联动、公铁空一体的综合口岸体系，沿江沿海港口群吞吐量大，航空口岸发展迅速，基础设施条件全国领先。但也存在不少短板不足：</w:t>
      </w:r>
      <w:r>
        <w:rPr>
          <w:rFonts w:hint="eastAsia" w:ascii="Times New Roman" w:hAnsi="Times New Roman" w:eastAsia="方正仿宋_GBK" w:cs="Times New Roman"/>
          <w:b/>
          <w:bCs/>
          <w:color w:val="auto"/>
          <w:sz w:val="32"/>
          <w:szCs w:val="32"/>
        </w:rPr>
        <w:t>一是</w:t>
      </w:r>
      <w:r>
        <w:rPr>
          <w:rFonts w:hint="eastAsia" w:ascii="Times New Roman" w:hAnsi="Times New Roman" w:eastAsia="方正仿宋_GBK" w:cs="Times New Roman"/>
          <w:color w:val="auto"/>
          <w:sz w:val="32"/>
          <w:szCs w:val="32"/>
        </w:rPr>
        <w:t>协同效能有待提升，省内各口岸（如苏州、南京、连云港等）之间存在一定程度的同质化竞争，资源整合和业务协同不足，未能完全形成合力。</w:t>
      </w:r>
      <w:r>
        <w:rPr>
          <w:rFonts w:hint="eastAsia" w:ascii="Times New Roman" w:hAnsi="Times New Roman" w:eastAsia="方正仿宋_GBK" w:cs="Times New Roman"/>
          <w:b/>
          <w:bCs/>
          <w:color w:val="auto"/>
          <w:sz w:val="32"/>
          <w:szCs w:val="32"/>
        </w:rPr>
        <w:t>二是</w:t>
      </w:r>
      <w:r>
        <w:rPr>
          <w:rFonts w:hint="eastAsia" w:ascii="Times New Roman" w:hAnsi="Times New Roman" w:eastAsia="方正仿宋_GBK" w:cs="Times New Roman"/>
          <w:color w:val="auto"/>
          <w:sz w:val="32"/>
          <w:szCs w:val="32"/>
        </w:rPr>
        <w:t>数字化转型发展不足，虽然智慧口岸建设已起步，但数据孤岛现象依然存在，全链条、全流程的数字化协同水平不高，数据价值未能充分释放。</w:t>
      </w:r>
      <w:r>
        <w:rPr>
          <w:rFonts w:hint="eastAsia" w:ascii="Times New Roman" w:hAnsi="Times New Roman" w:eastAsia="方正仿宋_GBK" w:cs="Times New Roman"/>
          <w:b/>
          <w:bCs/>
          <w:color w:val="auto"/>
          <w:sz w:val="32"/>
          <w:szCs w:val="32"/>
        </w:rPr>
        <w:t>三是</w:t>
      </w:r>
      <w:r>
        <w:rPr>
          <w:rFonts w:hint="eastAsia" w:ascii="Times New Roman" w:hAnsi="Times New Roman" w:eastAsia="方正仿宋_GBK" w:cs="Times New Roman"/>
          <w:color w:val="auto"/>
          <w:sz w:val="32"/>
          <w:szCs w:val="32"/>
        </w:rPr>
        <w:t>高端服务能力有待加强，口岸功能仍以传统装卸、仓储、报关为主，在供应链金融、贸易信息、跨境电商综合服务、冷链物流等高端增值服务方面，与国内外顶尖口岸相比仍有差距。</w:t>
      </w:r>
      <w:r>
        <w:rPr>
          <w:rFonts w:hint="eastAsia" w:ascii="Times New Roman" w:hAnsi="Times New Roman" w:eastAsia="方正仿宋_GBK" w:cs="Times New Roman"/>
          <w:b/>
          <w:bCs/>
          <w:color w:val="auto"/>
          <w:sz w:val="32"/>
          <w:szCs w:val="32"/>
        </w:rPr>
        <w:t>四是</w:t>
      </w:r>
      <w:r>
        <w:rPr>
          <w:rFonts w:hint="eastAsia" w:ascii="Times New Roman" w:hAnsi="Times New Roman" w:eastAsia="方正仿宋_GBK" w:cs="Times New Roman"/>
          <w:color w:val="auto"/>
          <w:sz w:val="32"/>
          <w:szCs w:val="32"/>
        </w:rPr>
        <w:t>安全韧性面临考验， 随着客货运量持续增长，口岸在公共卫生（如疫情防控）、生物安全、国门安全等方面的风险防控压力日益增大，应急处理能力需持续强化。</w:t>
      </w:r>
      <w:r>
        <w:rPr>
          <w:rFonts w:hint="eastAsia" w:ascii="Times New Roman" w:hAnsi="Times New Roman" w:eastAsia="方正仿宋_GBK" w:cs="Times New Roman"/>
          <w:b/>
          <w:bCs/>
          <w:color w:val="auto"/>
          <w:sz w:val="32"/>
          <w:szCs w:val="32"/>
        </w:rPr>
        <w:t>五是</w:t>
      </w:r>
      <w:r>
        <w:rPr>
          <w:rFonts w:hint="eastAsia" w:ascii="Times New Roman" w:hAnsi="Times New Roman" w:eastAsia="方正仿宋_GBK" w:cs="Times New Roman"/>
          <w:color w:val="auto"/>
          <w:sz w:val="32"/>
          <w:szCs w:val="32"/>
        </w:rPr>
        <w:t>绿色转型任务艰巨，船舶、飞机、货车等带来的排放问题依然突出，绿色能源应用比例有待提高，适应国际绿色新规的能力亟待提升。</w:t>
      </w:r>
    </w:p>
    <w:p>
      <w:pPr>
        <w:spacing w:line="587" w:lineRule="exact"/>
        <w:ind w:firstLine="640" w:firstLineChars="200"/>
        <w:rPr>
          <w:rFonts w:ascii="方正黑体_GBK" w:hAnsi="Times New Roman" w:eastAsia="方正黑体_GBK" w:cs="Times New Roman"/>
          <w:color w:val="auto"/>
          <w:sz w:val="32"/>
          <w:szCs w:val="32"/>
        </w:rPr>
      </w:pPr>
      <w:r>
        <w:rPr>
          <w:rFonts w:hint="eastAsia" w:ascii="方正黑体_GBK" w:hAnsi="Times New Roman" w:eastAsia="方正黑体_GBK" w:cs="Times New Roman"/>
          <w:color w:val="auto"/>
          <w:sz w:val="32"/>
          <w:szCs w:val="32"/>
        </w:rPr>
        <w:t>三、总体思路</w:t>
      </w:r>
    </w:p>
    <w:p>
      <w:pPr>
        <w:spacing w:line="587" w:lineRule="exact"/>
        <w:ind w:firstLine="640" w:firstLineChars="200"/>
        <w:rPr>
          <w:rFonts w:ascii="方正楷体_GBK" w:hAnsi="Times New Roman" w:eastAsia="方正楷体_GBK" w:cs="Times New Roman"/>
          <w:color w:val="auto"/>
          <w:sz w:val="32"/>
          <w:szCs w:val="32"/>
        </w:rPr>
      </w:pPr>
      <w:r>
        <w:rPr>
          <w:rFonts w:hint="eastAsia" w:ascii="方正楷体_GBK" w:hAnsi="Times New Roman" w:eastAsia="方正楷体_GBK" w:cs="Times New Roman"/>
          <w:color w:val="auto"/>
          <w:sz w:val="32"/>
          <w:szCs w:val="32"/>
        </w:rPr>
        <w:t>（一）指导思想</w:t>
      </w:r>
    </w:p>
    <w:p>
      <w:pPr>
        <w:spacing w:line="587"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坚持以习近平新时代中国特色社会主义思想为指导，全面贯彻落实党的二十大和二十届</w:t>
      </w:r>
      <w:r>
        <w:rPr>
          <w:rFonts w:hint="eastAsia" w:ascii="Times New Roman" w:hAnsi="Times New Roman" w:eastAsia="方正仿宋_GBK" w:cs="Times New Roman"/>
          <w:color w:val="auto"/>
          <w:sz w:val="32"/>
          <w:szCs w:val="32"/>
          <w:lang w:eastAsia="zh-CN"/>
        </w:rPr>
        <w:t>历次</w:t>
      </w:r>
      <w:r>
        <w:rPr>
          <w:rFonts w:ascii="Times New Roman" w:hAnsi="Times New Roman" w:eastAsia="方正仿宋_GBK" w:cs="Times New Roman"/>
          <w:color w:val="auto"/>
          <w:sz w:val="32"/>
          <w:szCs w:val="32"/>
        </w:rPr>
        <w:t>全会精神，深入贯彻习近平总书记对江苏工作重要讲话精神，坚持稳中求进工作总基调，完整准确全面贯彻新发展理念，服务构建新发展格局，推动高质量发展，以建设具有世界聚合力的双向开放枢纽为牵引，以建设平安、效能、智慧、法治、绿色</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五型口岸</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为目标，全面融入和服务高质量共建</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一带一路</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长三角一体化发展和长江经济带发展等重大战略，坚持联动发展、探索创新、先行先试，进一步优化口岸资源配置，提升口岸开放能级，持续打造市场化法治化国际化口岸一流营商环境，塑造高水平开放型经济新优势，为推动江苏形成东西互济、内外互联、进出平衡、面向未来的开放新格局，在推进中国式现代化中</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走在前</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做示范</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提供有力支撑。</w:t>
      </w:r>
    </w:p>
    <w:p>
      <w:pPr>
        <w:spacing w:line="587" w:lineRule="exact"/>
        <w:rPr>
          <w:rFonts w:ascii="方正楷体_GBK" w:hAnsi="Times New Roman" w:eastAsia="方正楷体_GBK" w:cs="Times New Roman"/>
          <w:color w:val="auto"/>
          <w:sz w:val="32"/>
          <w:szCs w:val="32"/>
        </w:rPr>
      </w:pPr>
      <w:r>
        <w:rPr>
          <w:rFonts w:hint="eastAsia" w:ascii="方正楷体_GBK" w:hAnsi="Times New Roman" w:eastAsia="方正楷体_GBK" w:cs="Times New Roman"/>
          <w:color w:val="auto"/>
          <w:sz w:val="32"/>
          <w:szCs w:val="32"/>
        </w:rPr>
        <w:t xml:space="preserve">    （二）基本原则</w:t>
      </w:r>
    </w:p>
    <w:p>
      <w:pPr>
        <w:spacing w:line="587" w:lineRule="exact"/>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 xml:space="preserve">    1.坚持系统谋划，科学布局。</w:t>
      </w:r>
      <w:r>
        <w:rPr>
          <w:rFonts w:hint="eastAsia" w:ascii="Times New Roman" w:hAnsi="Times New Roman" w:eastAsia="方正仿宋_GBK" w:cs="Times New Roman"/>
          <w:color w:val="auto"/>
          <w:sz w:val="32"/>
          <w:szCs w:val="32"/>
        </w:rPr>
        <w:t>按照省委省政府关于建设具有世界聚合力的双向开放枢纽的建设目标，充分发挥口岸作为国内国际双循环交汇点的重要作用，以优先发展重点口岸、全面提升现有口岸、科学规划新开放口岸</w:t>
      </w:r>
      <w:r>
        <w:rPr>
          <w:rFonts w:hint="eastAsia" w:ascii="Times New Roman" w:hAnsi="Times New Roman" w:eastAsia="方正仿宋_GBK" w:cs="Times New Roman"/>
          <w:color w:val="auto"/>
          <w:sz w:val="32"/>
          <w:szCs w:val="32"/>
          <w:lang w:eastAsia="zh-CN"/>
        </w:rPr>
        <w:t>等</w:t>
      </w:r>
      <w:r>
        <w:rPr>
          <w:rFonts w:hint="eastAsia" w:ascii="Times New Roman" w:hAnsi="Times New Roman" w:eastAsia="方正仿宋_GBK" w:cs="Times New Roman"/>
          <w:color w:val="auto"/>
          <w:sz w:val="32"/>
          <w:szCs w:val="32"/>
        </w:rPr>
        <w:t>三个层次整合优化全省口岸资源，不断增强竞争新优势。</w:t>
      </w:r>
    </w:p>
    <w:p>
      <w:pPr>
        <w:spacing w:line="587" w:lineRule="exact"/>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 xml:space="preserve">    2.坚持开放引领，提升能级。</w:t>
      </w:r>
      <w:r>
        <w:rPr>
          <w:rFonts w:hint="eastAsia" w:ascii="Times New Roman" w:hAnsi="Times New Roman" w:eastAsia="方正仿宋_GBK" w:cs="Times New Roman"/>
          <w:color w:val="auto"/>
          <w:sz w:val="32"/>
          <w:szCs w:val="32"/>
        </w:rPr>
        <w:t>分级分类优化全省口岸开放管理，不断完善口岸准入退出、验收和临时开放</w:t>
      </w:r>
      <w:r>
        <w:rPr>
          <w:rFonts w:hint="eastAsia" w:ascii="Times New Roman" w:hAnsi="Times New Roman" w:eastAsia="方正仿宋_GBK" w:cs="Times New Roman"/>
          <w:color w:val="auto"/>
          <w:sz w:val="32"/>
          <w:szCs w:val="32"/>
          <w:lang w:eastAsia="zh-CN"/>
        </w:rPr>
        <w:t>（启用）</w:t>
      </w:r>
      <w:r>
        <w:rPr>
          <w:rFonts w:hint="eastAsia" w:ascii="Times New Roman" w:hAnsi="Times New Roman" w:eastAsia="方正仿宋_GBK" w:cs="Times New Roman"/>
          <w:color w:val="auto"/>
          <w:sz w:val="32"/>
          <w:szCs w:val="32"/>
        </w:rPr>
        <w:t>等管理办法，推动口岸定位明确、功能互补、错位发展，加快培育形成具有较强国际竞争力的枢纽型口岸和区域口岸集群，不断提高江苏口岸开放整体效益。</w:t>
      </w:r>
    </w:p>
    <w:p>
      <w:pPr>
        <w:spacing w:line="587" w:lineRule="exact"/>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 xml:space="preserve">    3.坚持制度创新，优化环境。</w:t>
      </w:r>
      <w:r>
        <w:rPr>
          <w:rFonts w:hint="eastAsia" w:ascii="Times New Roman" w:hAnsi="Times New Roman" w:eastAsia="方正仿宋_GBK" w:cs="Times New Roman"/>
          <w:color w:val="auto"/>
          <w:sz w:val="32"/>
          <w:szCs w:val="32"/>
        </w:rPr>
        <w:t>突出以改革创新破解发展难题，聚焦口岸设施设备、运行管理、协同监管、综合服务、区域合作等重点领域建设提升，着力推动口岸现代化升级和智慧化改造，持续深化智慧口岸建设，不断提升口岸通关便利化水平，全力保障服务全省开放型经济发展。</w:t>
      </w:r>
    </w:p>
    <w:p>
      <w:pPr>
        <w:spacing w:line="587" w:lineRule="exact"/>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 xml:space="preserve">    4.坚持服务大局，协同联动。</w:t>
      </w:r>
      <w:r>
        <w:rPr>
          <w:rFonts w:hint="eastAsia" w:ascii="Times New Roman" w:hAnsi="Times New Roman" w:eastAsia="方正仿宋_GBK" w:cs="Times New Roman"/>
          <w:color w:val="auto"/>
          <w:sz w:val="32"/>
          <w:szCs w:val="32"/>
        </w:rPr>
        <w:t>聚焦服务国家、省重大战略与推进口岸自身发展相结合，推动江苏深度融入国家重大发展战略，加强国际合作，提升口岸参与国际竞争和服务经济社会发展能力，不断增强发展的内生动力和辐射带动力，促进口岸由“经济通道”向“通道经济”“产业经济”转型升级。</w:t>
      </w:r>
    </w:p>
    <w:p>
      <w:pPr>
        <w:spacing w:line="587" w:lineRule="exact"/>
        <w:ind w:firstLine="640"/>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5.坚持底线思维，安全发展。</w:t>
      </w:r>
      <w:r>
        <w:rPr>
          <w:rFonts w:hint="eastAsia" w:ascii="Times New Roman" w:hAnsi="Times New Roman" w:eastAsia="方正仿宋_GBK" w:cs="Times New Roman"/>
          <w:color w:val="auto"/>
          <w:sz w:val="32"/>
          <w:szCs w:val="32"/>
        </w:rPr>
        <w:t>统筹发展和安全，着眼口岸总体安全防控能力显著增强，牢固树立口岸治理共同体理念，完善口岸安全风险联合防控机制，着力提高口岸联合应急处置能力，推动全领域、全渠道、全链条、全要素口岸安全防控体系更加健全，口岸监管执法更加协同，确保口岸高效运行、高质发展。</w:t>
      </w:r>
    </w:p>
    <w:p>
      <w:pPr>
        <w:spacing w:line="587" w:lineRule="exact"/>
        <w:rPr>
          <w:rFonts w:ascii="方正楷体_GBK" w:hAnsi="Times New Roman" w:eastAsia="方正楷体_GBK" w:cs="Times New Roman"/>
          <w:color w:val="auto"/>
          <w:sz w:val="32"/>
          <w:szCs w:val="32"/>
        </w:rPr>
      </w:pPr>
      <w:r>
        <w:rPr>
          <w:rFonts w:hint="eastAsia" w:ascii="方正楷体_GBK" w:hAnsi="Times New Roman" w:eastAsia="方正楷体_GBK" w:cs="Times New Roman"/>
          <w:color w:val="auto"/>
          <w:sz w:val="32"/>
          <w:szCs w:val="32"/>
        </w:rPr>
        <w:t xml:space="preserve">    （三）发展目标</w:t>
      </w:r>
    </w:p>
    <w:p>
      <w:pPr>
        <w:pStyle w:val="19"/>
        <w:widowControl/>
        <w:shd w:val="clear" w:color="auto" w:fill="FFFFFF"/>
        <w:spacing w:before="0" w:beforeAutospacing="0" w:after="0" w:afterAutospacing="0" w:line="587" w:lineRule="exact"/>
        <w:ind w:firstLine="640" w:firstLineChars="200"/>
        <w:jc w:val="both"/>
        <w:rPr>
          <w:rFonts w:ascii="Times New Roman" w:hAnsi="Times New Roman" w:eastAsia="方正仿宋_GBK"/>
          <w:color w:val="auto"/>
          <w:kern w:val="2"/>
          <w:sz w:val="32"/>
          <w:szCs w:val="32"/>
        </w:rPr>
      </w:pPr>
      <w:r>
        <w:rPr>
          <w:rFonts w:hint="eastAsia" w:ascii="Times New Roman" w:hAnsi="Times New Roman" w:eastAsia="方正仿宋_GBK"/>
          <w:color w:val="auto"/>
          <w:kern w:val="2"/>
          <w:sz w:val="32"/>
          <w:szCs w:val="32"/>
        </w:rPr>
        <w:t>“</w:t>
      </w:r>
      <w:r>
        <w:rPr>
          <w:rFonts w:ascii="Times New Roman" w:hAnsi="Times New Roman" w:eastAsia="方正仿宋_GBK"/>
          <w:color w:val="auto"/>
          <w:kern w:val="2"/>
          <w:sz w:val="32"/>
          <w:szCs w:val="32"/>
        </w:rPr>
        <w:t>十五五</w:t>
      </w:r>
      <w:r>
        <w:rPr>
          <w:rFonts w:hint="eastAsia" w:ascii="Times New Roman" w:hAnsi="Times New Roman" w:eastAsia="方正仿宋_GBK"/>
          <w:color w:val="auto"/>
          <w:kern w:val="2"/>
          <w:sz w:val="32"/>
          <w:szCs w:val="32"/>
        </w:rPr>
        <w:t>”</w:t>
      </w:r>
      <w:r>
        <w:rPr>
          <w:rFonts w:ascii="Times New Roman" w:hAnsi="Times New Roman" w:eastAsia="方正仿宋_GBK"/>
          <w:color w:val="auto"/>
          <w:kern w:val="2"/>
          <w:sz w:val="32"/>
          <w:szCs w:val="32"/>
        </w:rPr>
        <w:t>期间，全省口岸发展总体目标是持续深入推进平安、效能、智慧、法治、绿色</w:t>
      </w:r>
      <w:r>
        <w:rPr>
          <w:rFonts w:hint="eastAsia" w:ascii="Times New Roman" w:hAnsi="Times New Roman" w:eastAsia="方正仿宋_GBK"/>
          <w:color w:val="auto"/>
          <w:kern w:val="2"/>
          <w:sz w:val="32"/>
          <w:szCs w:val="32"/>
        </w:rPr>
        <w:t>“</w:t>
      </w:r>
      <w:r>
        <w:rPr>
          <w:rFonts w:ascii="Times New Roman" w:hAnsi="Times New Roman" w:eastAsia="方正仿宋_GBK"/>
          <w:color w:val="auto"/>
          <w:kern w:val="2"/>
          <w:sz w:val="32"/>
          <w:szCs w:val="32"/>
        </w:rPr>
        <w:t>五型</w:t>
      </w:r>
      <w:r>
        <w:rPr>
          <w:rFonts w:hint="eastAsia" w:ascii="Times New Roman" w:hAnsi="Times New Roman" w:eastAsia="方正仿宋_GBK"/>
          <w:color w:val="auto"/>
          <w:kern w:val="2"/>
          <w:sz w:val="32"/>
          <w:szCs w:val="32"/>
        </w:rPr>
        <w:t>”</w:t>
      </w:r>
      <w:r>
        <w:rPr>
          <w:rFonts w:ascii="Times New Roman" w:hAnsi="Times New Roman" w:eastAsia="方正仿宋_GBK"/>
          <w:color w:val="auto"/>
          <w:kern w:val="2"/>
          <w:sz w:val="32"/>
          <w:szCs w:val="32"/>
        </w:rPr>
        <w:t>口岸建设，以构建口岸更高层次布局、推进口岸更高水平安全、推动口岸更高质量建设、推进口岸更高效能运行为主线，在准确把握质的有效提升和量的合理增长的深刻内涵和重点要求的基础上，推动形成功能布局合理、建设集约高效、设备设施先进、管理规范协调、运行安全便利、应急快速有效、口岸经济创新发展的现代化口岸，口岸功能和产业布局空间深度融合、口岸保障和服务能力水平有力提升。</w:t>
      </w:r>
    </w:p>
    <w:p>
      <w:pPr>
        <w:spacing w:line="587" w:lineRule="exact"/>
        <w:ind w:firstLine="642"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1.布局结构层次分明。</w:t>
      </w:r>
      <w:r>
        <w:rPr>
          <w:rFonts w:hint="eastAsia" w:ascii="Times New Roman" w:hAnsi="Times New Roman" w:eastAsia="方正仿宋_GBK" w:cs="Times New Roman"/>
          <w:color w:val="auto"/>
          <w:sz w:val="32"/>
          <w:szCs w:val="32"/>
        </w:rPr>
        <w:t>紧跟内外部环境的变化趋势，以满足和适应当前口岸发展新形势新要求为目标，坚持“布局合理、特色鲜明、服务一流、运转高效”的发展指向，加强战略性、系统性、前瞻性谋划，紧扣一体化和高质量两个关键，逐步推进建设“功能突出、腹地广阔的重点枢纽口岸和综合效益好、集疏运能力强的区域节点口岸”，参与建设“安全高效的空中经济走廊”，进一步增强全省口岸的聚合力、支撑力、辐射力。</w:t>
      </w:r>
    </w:p>
    <w:p>
      <w:pPr>
        <w:spacing w:line="587" w:lineRule="exact"/>
        <w:ind w:firstLine="642"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2.管理服务安全高效。</w:t>
      </w:r>
      <w:r>
        <w:rPr>
          <w:rFonts w:hint="eastAsia" w:ascii="方正仿宋_GBK" w:hAnsi="方正仿宋_GBK" w:eastAsia="方正仿宋_GBK" w:cs="方正仿宋_GBK"/>
          <w:color w:val="auto"/>
          <w:sz w:val="32"/>
          <w:szCs w:val="32"/>
        </w:rPr>
        <w:t>深刻认识深层次改革赋予口岸工作的新使命、高水平开放对口岸工作提出的新要求、高质量发展对口岸工作提出的新任务、高水平安全对口岸工作提出的新挑战，以</w:t>
      </w:r>
      <w:r>
        <w:rPr>
          <w:rFonts w:hint="eastAsia" w:ascii="Times New Roman" w:hAnsi="Times New Roman" w:eastAsia="方正仿宋_GBK" w:cs="Times New Roman"/>
          <w:color w:val="auto"/>
          <w:sz w:val="32"/>
          <w:szCs w:val="32"/>
        </w:rPr>
        <w:t>《江苏省水运口岸码头泊位管理服务办法》和</w:t>
      </w:r>
      <w:r>
        <w:rPr>
          <w:rFonts w:ascii="Times New Roman" w:hAnsi="Times New Roman" w:eastAsia="方正仿宋_GBK" w:cs="Times New Roman"/>
          <w:color w:val="auto"/>
          <w:sz w:val="32"/>
          <w:szCs w:val="32"/>
        </w:rPr>
        <w:t>《江苏省开放码头运营评估实施办法》</w:t>
      </w:r>
      <w:r>
        <w:rPr>
          <w:rFonts w:hint="eastAsia" w:ascii="Times New Roman" w:hAnsi="Times New Roman" w:eastAsia="方正仿宋_GBK" w:cs="Times New Roman"/>
          <w:color w:val="auto"/>
          <w:sz w:val="32"/>
          <w:szCs w:val="32"/>
        </w:rPr>
        <w:t>为抓手，深入探索口岸发展路径，全面提升强管理、优机制、重考核三项职能，更有效激发口岸运行活力。同时，持续建立完善口岸安全防控体系，</w:t>
      </w:r>
      <w:r>
        <w:rPr>
          <w:rFonts w:hint="eastAsia" w:ascii="Times New Roman" w:hAnsi="Times New Roman" w:eastAsia="方正仿宋_GBK" w:cs="Times New Roman"/>
          <w:color w:val="auto"/>
          <w:sz w:val="32"/>
          <w:szCs w:val="32"/>
          <w:lang w:eastAsia="zh-CN"/>
        </w:rPr>
        <w:t>提升</w:t>
      </w:r>
      <w:r>
        <w:rPr>
          <w:rFonts w:hint="eastAsia" w:ascii="Times New Roman" w:hAnsi="Times New Roman" w:eastAsia="方正仿宋_GBK" w:cs="Times New Roman"/>
          <w:color w:val="auto"/>
          <w:sz w:val="32"/>
          <w:szCs w:val="32"/>
        </w:rPr>
        <w:t>各类口岸风险预警和应急处置能力，确保口岸人员、货物、运输工具安全。</w:t>
      </w:r>
    </w:p>
    <w:p>
      <w:pPr>
        <w:spacing w:line="587" w:lineRule="exact"/>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 xml:space="preserve">    3.营商环境优质便利。</w:t>
      </w:r>
      <w:r>
        <w:rPr>
          <w:rFonts w:hint="eastAsia" w:ascii="Times New Roman" w:hAnsi="Times New Roman" w:eastAsia="方正仿宋_GBK" w:cs="Times New Roman"/>
          <w:color w:val="auto"/>
          <w:sz w:val="32"/>
          <w:szCs w:val="32"/>
        </w:rPr>
        <w:t>充分发挥江苏开放程度高、实体经济强、营商环境好等优势，进一步深化跨境贸易便利化</w:t>
      </w:r>
      <w:r>
        <w:rPr>
          <w:rFonts w:hint="eastAsia" w:ascii="Times New Roman" w:hAnsi="Times New Roman" w:eastAsia="方正仿宋_GBK" w:cs="Times New Roman"/>
          <w:color w:val="auto"/>
          <w:sz w:val="32"/>
          <w:szCs w:val="32"/>
          <w:lang w:eastAsia="zh-CN"/>
        </w:rPr>
        <w:t>改革</w:t>
      </w:r>
      <w:r>
        <w:rPr>
          <w:rFonts w:hint="eastAsia" w:ascii="Times New Roman" w:hAnsi="Times New Roman" w:eastAsia="方正仿宋_GBK" w:cs="Times New Roman"/>
          <w:color w:val="auto"/>
          <w:sz w:val="32"/>
          <w:szCs w:val="32"/>
        </w:rPr>
        <w:t>，优化监管模式，促进物流畅通，推进互联互通，实现降本增效；进一步深化智慧口岸建设，夯实数字底座，加快智能化升级，持续畅通国际贸易全链条，以建设一流智慧口岸促进口岸高质量发展。</w:t>
      </w:r>
    </w:p>
    <w:p>
      <w:pPr>
        <w:spacing w:line="587" w:lineRule="exact"/>
        <w:rPr>
          <w:rFonts w:ascii="方正黑体_GBK" w:hAnsi="Times New Roman" w:eastAsia="方正黑体_GBK" w:cs="Times New Roman"/>
          <w:color w:val="auto"/>
          <w:sz w:val="32"/>
          <w:szCs w:val="32"/>
        </w:rPr>
      </w:pPr>
      <w:r>
        <w:rPr>
          <w:rFonts w:hint="eastAsia" w:ascii="方正黑体_GBK" w:hAnsi="Times New Roman" w:eastAsia="方正黑体_GBK" w:cs="Times New Roman"/>
          <w:color w:val="auto"/>
          <w:sz w:val="32"/>
          <w:szCs w:val="32"/>
        </w:rPr>
        <w:t xml:space="preserve">    四、主要任务</w:t>
      </w:r>
    </w:p>
    <w:p>
      <w:pPr>
        <w:spacing w:line="587" w:lineRule="exact"/>
        <w:ind w:firstLine="640" w:firstLineChars="200"/>
        <w:rPr>
          <w:rFonts w:ascii="方正楷体_GBK" w:eastAsia="方正楷体_GBK"/>
          <w:color w:val="auto"/>
          <w:sz w:val="32"/>
          <w:szCs w:val="32"/>
        </w:rPr>
      </w:pPr>
      <w:r>
        <w:rPr>
          <w:rFonts w:hint="eastAsia" w:ascii="方正楷体_GBK" w:eastAsia="方正楷体_GBK"/>
          <w:color w:val="auto"/>
          <w:sz w:val="32"/>
          <w:szCs w:val="32"/>
        </w:rPr>
        <w:t>（一）统筹建设布局，提升口岸开放能级</w:t>
      </w:r>
    </w:p>
    <w:p>
      <w:pPr>
        <w:spacing w:line="587" w:lineRule="exact"/>
        <w:ind w:firstLine="642" w:firstLineChars="200"/>
        <w:rPr>
          <w:rFonts w:ascii="Times New Roman" w:hAnsi="Times New Roman" w:eastAsia="方正仿宋_GBK" w:cs="Times New Roman"/>
          <w:color w:val="auto"/>
          <w:sz w:val="32"/>
          <w:szCs w:val="32"/>
        </w:rPr>
      </w:pPr>
      <w:r>
        <w:rPr>
          <w:rFonts w:ascii="Times New Roman" w:hAnsi="Times New Roman" w:eastAsia="方正仿宋_GBK" w:cs="Times New Roman"/>
          <w:b/>
          <w:bCs/>
          <w:color w:val="auto"/>
          <w:sz w:val="32"/>
          <w:szCs w:val="32"/>
        </w:rPr>
        <w:t>1. 提升口岸枢纽功能。</w:t>
      </w:r>
      <w:r>
        <w:rPr>
          <w:rFonts w:ascii="Times New Roman" w:hAnsi="Times New Roman" w:eastAsia="方正仿宋_GBK" w:cs="Times New Roman"/>
          <w:color w:val="auto"/>
          <w:sz w:val="32"/>
          <w:szCs w:val="32"/>
        </w:rPr>
        <w:t>紧密结合国家重大战略和区域协调发展战略，根据</w:t>
      </w:r>
      <w:r>
        <w:rPr>
          <w:rFonts w:hint="eastAsia" w:ascii="Times New Roman" w:hAnsi="Times New Roman" w:eastAsia="方正仿宋_GBK" w:cs="Times New Roman"/>
          <w:color w:val="auto"/>
          <w:sz w:val="32"/>
          <w:szCs w:val="32"/>
        </w:rPr>
        <w:t>全省开放型经济发展的实际需求，围绕</w:t>
      </w:r>
      <w:r>
        <w:rPr>
          <w:rFonts w:ascii="Times New Roman" w:hAnsi="Times New Roman" w:eastAsia="方正仿宋_GBK" w:cs="Times New Roman"/>
          <w:color w:val="auto"/>
          <w:sz w:val="32"/>
          <w:szCs w:val="32"/>
        </w:rPr>
        <w:t>现有口岸开放布局和岸线资源</w:t>
      </w:r>
      <w:r>
        <w:rPr>
          <w:rFonts w:hint="eastAsia" w:ascii="Times New Roman" w:hAnsi="Times New Roman" w:eastAsia="方正仿宋_GBK" w:cs="Times New Roman"/>
          <w:color w:val="auto"/>
          <w:sz w:val="32"/>
          <w:szCs w:val="32"/>
        </w:rPr>
        <w:t>，进一步提升水运枢纽和空运枢纽的综合服务能力，打造智能高效的现代化物流体系。按照规划优先、补白优先、沿海优先、产业优先、效率优先“五个优先” 原则，充分发挥江苏海江河湖联动的区位优势，指导沿江沿海新建拟开放码头泊位“同步规划、同步建设、同步验收、同步使用”，推动沿江沿海港口更好融入长三角世界级港口群，巩固拓展以连云港港国际枢纽海港为支撑的新亚欧陆海联运出海口。聚焦通州湾绿色化工拓展区发展，推进通州湾中石油蓝海新材料液化码头建设。支持苏州港打造集装箱干线港，抢抓新能源风口，推动“新三样”以及特种设备在张家港集聚出口，打造长江沿线重特件集散运输“第一港”；支持优化无锡（江阴）港“一港四区”功能布局，打造区域性枢纽港，提升江海河转运枢纽服务能级；支持南京龙潭公铁水联运中心建设，提升南京港辐射中西部区域能力。优化机场布局，注重科学引领、优势互补、功能协同，持续提升9个空运口岸开放能级。强化南京禄口机场区域枢纽作用，提升国际服务功能，增强洲际连接能力和全球辐射能力，打造航空货物和快件集散中心。支持无锡硕放机场加快推进区域性枢纽机场建设，打造重要的航空物流集散中心；支持南通加快推进新机场迁建，强化货运服务功能，深化与上海国际航空枢纽合作，有效承接上海机场外溢货源。引导其他机场协同分工，发展面向特定区域服务功能，加快形成定位明确、功能互补、错位发展的空运口岸开放布局。</w:t>
      </w:r>
    </w:p>
    <w:p>
      <w:pPr>
        <w:spacing w:line="587" w:lineRule="exact"/>
        <w:ind w:firstLine="642"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2. 畅通国际物流通道。</w:t>
      </w:r>
      <w:r>
        <w:rPr>
          <w:rFonts w:hint="eastAsia" w:ascii="Times New Roman" w:hAnsi="Times New Roman" w:eastAsia="方正仿宋_GBK" w:cs="Times New Roman"/>
          <w:color w:val="auto"/>
          <w:sz w:val="32"/>
          <w:szCs w:val="32"/>
        </w:rPr>
        <w:t>持续激发沿海地区对外开放先导作用，服务区域经济发展协同战略实施推进，巩固连云港国际枢纽海港地位，支持连云港港与哈国铁加快共建阿克套港集装箱枢纽项目，实现与中哈物流合作基地、霍尔果斯-东门无水港“三节点枢纽一体化”运作。</w:t>
      </w:r>
      <w:r>
        <w:rPr>
          <w:rFonts w:hint="eastAsia" w:ascii="Times New Roman" w:hAnsi="Times New Roman" w:eastAsia="方正仿宋_GBK" w:cs="Times New Roman"/>
          <w:color w:val="auto"/>
          <w:sz w:val="32"/>
          <w:szCs w:val="32"/>
          <w:lang w:eastAsia="zh-CN"/>
        </w:rPr>
        <w:t>按照</w:t>
      </w:r>
      <w:r>
        <w:rPr>
          <w:rFonts w:hint="eastAsia" w:ascii="Times New Roman" w:hAnsi="Times New Roman" w:eastAsia="方正仿宋_GBK" w:cs="Times New Roman"/>
          <w:color w:val="auto"/>
          <w:sz w:val="32"/>
          <w:szCs w:val="32"/>
        </w:rPr>
        <w:t>“近洋深耕、远洋协同”</w:t>
      </w:r>
      <w:r>
        <w:rPr>
          <w:rFonts w:hint="eastAsia" w:ascii="Times New Roman" w:hAnsi="Times New Roman" w:eastAsia="方正仿宋_GBK" w:cs="Times New Roman"/>
          <w:color w:val="auto"/>
          <w:sz w:val="32"/>
          <w:szCs w:val="32"/>
          <w:lang w:eastAsia="zh-CN"/>
        </w:rPr>
        <w:t>原则</w:t>
      </w:r>
      <w:r>
        <w:rPr>
          <w:rFonts w:hint="eastAsia" w:ascii="Times New Roman" w:hAnsi="Times New Roman" w:eastAsia="方正仿宋_GBK" w:cs="Times New Roman"/>
          <w:color w:val="auto"/>
          <w:sz w:val="32"/>
          <w:szCs w:val="32"/>
        </w:rPr>
        <w:t>，发挥江海直达优势，进一步加密日韩航线，加强与东亚、南亚及区域全面经济伙伴关系协定（RCEP）国家的近洋航线建设，构建高效优质的近洋航线运输体系，实现与周边大港的互补协同发展。加强与沿海港口、长江中上游港口合作，开通无锡（江阴）港至广州、营口等沿海港口的内贸直航干线航班，以及往长江中上游的内贸长江支线航班，同时推动江阴港—中欧班列“港站直连”项目，实现海运箱直接上列，构建无缝衔接的“港口+班列”陆海联运新通道，将港口腹地纵深拓展至长江中上游及中原地区。加快江海联运枢纽设施建设，提升海铁联运特色优势。向外，持续强化新亚欧大陆桥海铁联运通道打造，形成向东衔接国际近远洋航线，向西直达中西部主要城市、衔接中欧班列的海铁联运网络；向内，加快打造徐州、郑州等陇海、兰新沿线地区站点至连云港铁水联运通道，形成覆盖中西部地区的铁水联运服务网络。重点搭建通达亚太、北美和欧洲的三大“空中走廊”，打造高效的空中开放通道。“特色化、差异化”发展国际及地区精品航空航线，南京机场重点发展至北美、欧洲的洲际货运航线，拓展至中东地区货运航线，开辟亚洲及“一带一路”重点产能合作国家和地区货运航线；无锡机场重点发展至欧洲、中北美洲的洲际货运航线，稳定运营亚洲货运航线；连云港机场积极开辟、加密至东北亚、新亚欧大陆桥沿线城市航线，打造“一带一路”重要支点；南通、盐城机场分别打造亚洲精品货运航线和对韩特色机场。</w:t>
      </w:r>
    </w:p>
    <w:p>
      <w:pPr>
        <w:widowControl/>
        <w:ind w:firstLine="642" w:firstLineChars="200"/>
        <w:jc w:val="left"/>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3. 完善货物集疏运体系。</w:t>
      </w:r>
      <w:r>
        <w:rPr>
          <w:rFonts w:hint="eastAsia" w:ascii="Times New Roman" w:hAnsi="Times New Roman" w:eastAsia="方正仿宋_GBK" w:cs="Times New Roman"/>
          <w:color w:val="auto"/>
          <w:sz w:val="32"/>
          <w:szCs w:val="32"/>
        </w:rPr>
        <w:t>加快“水运江苏”建设，一体化推动公铁水、江海河等高效、低成本的多式联运集疏运体系建设，提升内河与沿海港口的协同效率，实现口岸多种运输方式“无缝衔接”，支持连云港铁水联运发展，打造服务新亚欧大陆桥的集装箱干线港；打造以苏州港、南通港为支撑的上海组合港北翼；支持建设盐城港淮河生态经济带出海门户，持续推进深水海港建设；提升南京区域性航运物流中心能级，加快沿江港口功能优化和转型提升。大力发展海铁联运，加速建设太仓港综合枢纽（多式联运）物流园区，争取疏港铁路开辟更多适货贸易班列；织密“公铁水”立体交通网，深化“江海河联运”优势，畅通干支流水运通道，加速推进沿江公路快速化改造，实现港口与腹地的快速衔接，推动新长铁路如皋港支线深度接入港区中枢，实现“铁路进码头、货物直换装”。结合航空口岸功能定位，积极推进区域运输服务、运行协同、联程联运合作，大力发展空铁、空公等多式联运，不断完善机场集疏运体系建设。</w:t>
      </w:r>
      <w:commentRangeStart w:id="0"/>
      <w:r>
        <w:rPr>
          <w:rFonts w:hint="eastAsia" w:ascii="Times New Roman" w:hAnsi="Times New Roman" w:eastAsia="方正仿宋_GBK" w:cs="Times New Roman"/>
          <w:color w:val="auto"/>
          <w:sz w:val="32"/>
          <w:szCs w:val="32"/>
        </w:rPr>
        <w:t>支持南京机场依托临空经济示范区充分发挥空、铁、公、水多式联运集成优势，加强与海港、高铁枢纽经济区协同联动，推进空港型国家物流枢纽建设，形成高效协同的多式联运物流体系；</w:t>
      </w:r>
      <w:commentRangeEnd w:id="0"/>
      <w:r>
        <w:rPr>
          <w:color w:val="auto"/>
        </w:rPr>
        <w:commentReference w:id="0"/>
      </w:r>
      <w:r>
        <w:rPr>
          <w:rFonts w:hint="eastAsia" w:ascii="Times New Roman" w:hAnsi="Times New Roman" w:eastAsia="方正仿宋_GBK" w:cs="Times New Roman"/>
          <w:color w:val="auto"/>
          <w:sz w:val="32"/>
          <w:szCs w:val="32"/>
        </w:rPr>
        <w:t>支持无锡机场</w:t>
      </w:r>
      <w:r>
        <w:rPr>
          <w:rFonts w:ascii="Times New Roman" w:hAnsi="Times New Roman" w:eastAsia="方正仿宋_GBK" w:cs="Times New Roman"/>
          <w:bCs/>
          <w:snapToGrid w:val="0"/>
          <w:color w:val="auto"/>
          <w:kern w:val="0"/>
          <w:sz w:val="32"/>
          <w:szCs w:val="28"/>
        </w:rPr>
        <w:t>推进苏锡航空市场一体化</w:t>
      </w:r>
      <w:r>
        <w:rPr>
          <w:rFonts w:hint="eastAsia" w:ascii="Times New Roman" w:hAnsi="Times New Roman" w:eastAsia="方正仿宋_GBK" w:cs="Times New Roman"/>
          <w:bCs/>
          <w:snapToGrid w:val="0"/>
          <w:color w:val="auto"/>
          <w:kern w:val="0"/>
          <w:sz w:val="32"/>
          <w:szCs w:val="28"/>
        </w:rPr>
        <w:t>建设</w:t>
      </w:r>
      <w:r>
        <w:rPr>
          <w:rFonts w:ascii="Times New Roman" w:hAnsi="Times New Roman" w:eastAsia="方正仿宋_GBK" w:cs="Times New Roman"/>
          <w:bCs/>
          <w:snapToGrid w:val="0"/>
          <w:color w:val="auto"/>
          <w:kern w:val="0"/>
          <w:sz w:val="32"/>
          <w:szCs w:val="28"/>
        </w:rPr>
        <w:t>，</w:t>
      </w:r>
      <w:r>
        <w:rPr>
          <w:rFonts w:hint="eastAsia" w:ascii="Times New Roman" w:hAnsi="Times New Roman" w:eastAsia="方正仿宋_GBK" w:cs="Times New Roman"/>
          <w:bCs/>
          <w:snapToGrid w:val="0"/>
          <w:color w:val="auto"/>
          <w:kern w:val="0"/>
          <w:sz w:val="32"/>
          <w:szCs w:val="28"/>
        </w:rPr>
        <w:t>加强</w:t>
      </w:r>
      <w:r>
        <w:rPr>
          <w:rFonts w:ascii="Times New Roman" w:hAnsi="Times New Roman" w:eastAsia="方正仿宋_GBK" w:cs="Times New Roman"/>
          <w:bCs/>
          <w:snapToGrid w:val="0"/>
          <w:color w:val="auto"/>
          <w:kern w:val="0"/>
          <w:sz w:val="32"/>
          <w:szCs w:val="28"/>
        </w:rPr>
        <w:t>与上海等周边机场的协同发展</w:t>
      </w:r>
      <w:r>
        <w:rPr>
          <w:rFonts w:hint="eastAsia" w:ascii="Times New Roman" w:hAnsi="Times New Roman" w:eastAsia="方正仿宋_GBK" w:cs="Times New Roman"/>
          <w:bCs/>
          <w:snapToGrid w:val="0"/>
          <w:color w:val="auto"/>
          <w:kern w:val="0"/>
          <w:sz w:val="32"/>
          <w:szCs w:val="28"/>
        </w:rPr>
        <w:t>；南通机场</w:t>
      </w:r>
      <w:r>
        <w:rPr>
          <w:rFonts w:ascii="Times New Roman" w:hAnsi="Times New Roman" w:eastAsia="方正仿宋_GBK" w:cs="Times New Roman"/>
          <w:bCs/>
          <w:snapToGrid w:val="0"/>
          <w:color w:val="auto"/>
          <w:kern w:val="0"/>
          <w:sz w:val="32"/>
          <w:szCs w:val="28"/>
        </w:rPr>
        <w:t>重点服务南通及周边地区产业，</w:t>
      </w:r>
      <w:r>
        <w:rPr>
          <w:rFonts w:hint="eastAsia" w:ascii="Times New Roman" w:hAnsi="Times New Roman" w:eastAsia="方正仿宋_GBK" w:cs="Times New Roman"/>
          <w:bCs/>
          <w:snapToGrid w:val="0"/>
          <w:color w:val="auto"/>
          <w:kern w:val="0"/>
          <w:sz w:val="32"/>
          <w:szCs w:val="28"/>
        </w:rPr>
        <w:t>深化与顺丰、川航物流和京东货航的合作，发展航空货运；</w:t>
      </w:r>
      <w:r>
        <w:rPr>
          <w:rFonts w:hint="eastAsia" w:ascii="Times New Roman" w:hAnsi="Times New Roman" w:eastAsia="方正仿宋_GBK" w:cs="Times New Roman"/>
          <w:color w:val="auto"/>
          <w:sz w:val="32"/>
          <w:szCs w:val="32"/>
        </w:rPr>
        <w:t>其他机场加强与南京、郑州、鄂州等枢纽机场的协同联动，加强国内全货机航线发展，统筹拓展国际航空货运业务。支持省内机场加强与长三角主要城市、海关特殊监管区域及异地货站协调联动，持续延伸口岸服务链条。</w:t>
      </w:r>
    </w:p>
    <w:p>
      <w:pPr>
        <w:spacing w:line="587" w:lineRule="exact"/>
        <w:ind w:firstLine="640" w:firstLineChars="200"/>
        <w:rPr>
          <w:rFonts w:ascii="方正楷体_GBK" w:hAnsi="Times New Roman" w:eastAsia="方正楷体_GBK" w:cs="Times New Roman"/>
          <w:color w:val="auto"/>
          <w:sz w:val="32"/>
          <w:szCs w:val="32"/>
        </w:rPr>
      </w:pPr>
      <w:r>
        <w:rPr>
          <w:rFonts w:hint="eastAsia" w:ascii="方正楷体_GBK" w:hAnsi="Times New Roman" w:eastAsia="方正楷体_GBK" w:cs="Times New Roman"/>
          <w:color w:val="auto"/>
          <w:sz w:val="32"/>
          <w:szCs w:val="32"/>
        </w:rPr>
        <w:t>（二）深化产业联动，赋能口岸经济发展</w:t>
      </w:r>
    </w:p>
    <w:p>
      <w:pPr>
        <w:spacing w:line="587" w:lineRule="exact"/>
        <w:ind w:firstLine="642"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1. 提升口岸服务先进制造能力。</w:t>
      </w:r>
      <w:r>
        <w:rPr>
          <w:rFonts w:hint="eastAsia" w:ascii="Times New Roman" w:hAnsi="Times New Roman" w:eastAsia="方正仿宋_GBK" w:cs="Times New Roman"/>
          <w:color w:val="auto"/>
          <w:sz w:val="32"/>
          <w:szCs w:val="32"/>
        </w:rPr>
        <w:t>强化口岸产业布局，围绕生物医药、集成电路等战略性新兴产业，创新口岸监管模式， 实施通关便利化措施。支持制造业龙头企业利用口岸通道“全链条出海”，探索构建“研产供销服融”全价值链出海模式，带动产业链上下游共同开拓国际市场。抢抓新能源产业风口，支持太仓港依托海通汽车滚装码头，从“船、港、货”三方面制定光伏、风能、新能源汽车、大容量储能柜等“新三样”出运安全举措，创新多用途货轮“可折叠商品车专用框架”业务模式，构建新能源商品保通保畅服务体系；支持常州港依托录安洲港区建设多用途泊位，打造新能源整车及动力电池出口主通道，开发“航空+仓储+配送”一体化物流产品，为新能源、高端装备等产业提供“门到门”跨境供应链解决方案。以制造企业的需求为中心，推动口岸功能从基础物流向“物流+供应链管理+贸易+金融”的综合生态转型，鼓励江阴港发展“口岸嵌入式物流”，将港口功能前置到企业园区，提供“门到港”的精准物流服务，从单一的物流“通道”，升级为嵌入制造业全流程的“供应链核心节点”和“价值共创平台”。积极探索复制自贸试验区经验，增强口岸与自贸试验区、综合保税区等开放平台的协同联动、功能叠加，开展“保税维修+再制造”等业务试点，助力高端装备制造产业升级，推动滨海港区打造临港产业集聚区基础平台，逐步拓展淮河流域腹地物资运输以及物流服务功能，发展成为规模化、集约化、专业化的现代化港区。</w:t>
      </w:r>
    </w:p>
    <w:p>
      <w:pPr>
        <w:autoSpaceDE w:val="0"/>
        <w:autoSpaceDN w:val="0"/>
        <w:snapToGrid w:val="0"/>
        <w:spacing w:line="590" w:lineRule="exact"/>
        <w:ind w:firstLine="642"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rPr>
        <w:t>2. 提升口岸产业能级。</w:t>
      </w:r>
      <w:r>
        <w:rPr>
          <w:rFonts w:hint="eastAsia" w:ascii="Times New Roman" w:hAnsi="Times New Roman" w:eastAsia="方正仿宋_GBK" w:cs="Times New Roman"/>
          <w:color w:val="auto"/>
          <w:sz w:val="32"/>
          <w:szCs w:val="32"/>
        </w:rPr>
        <w:t>依托口岸枢纽优势，推动口岸产业由传统的物流枢纽向“物流+贸易+产业+服务”一体化融合的现代经济平台跃升，全面提升产业能级，努力构建一个基础牢、业态新、融合深、动能强的现代化口岸产业体系，为区域经济高质量发展注入强劲动力。强化基础，推动“港口+产业”深度融合，推动泰州依托宁启铁路西货站，打造枢纽经济区、分拨配送区、供应链集成区等功能区域，实现铁路园、物流园、产业园“三园同心”，推动铁路枢纽与产业园区联动发展。围绕区域内新能源、新材料、高端装备等战略产业集群，量身定制高效、稳定的国际物流解决方案，并建设与之配套的原料进口、产品出口和国际分拨中心，使口岸功能嵌入制造业核心环节，支持如东港立足“产业港、能源岛”的发展定位，依托中石油、国信、协鑫等LNG接收站，打造全国最大LNG接收储运基地。在传统港口物流基础上，拓展高附加值业态，超越传统装卸业务，大力发展冷链物流、跨境电商、供应链金融等现代服务业；发展保税研发、全球检测维修、保税展示交易等新业态，</w:t>
      </w:r>
      <w:r>
        <w:rPr>
          <w:rFonts w:hint="eastAsia" w:ascii="Times New Roman" w:hAnsi="Times New Roman" w:eastAsia="方正仿宋_GBK" w:cs="Times New Roman"/>
          <w:color w:val="auto"/>
          <w:sz w:val="32"/>
          <w:szCs w:val="32"/>
          <w:lang w:eastAsia="zh-CN"/>
        </w:rPr>
        <w:t>支持</w:t>
      </w:r>
      <w:r>
        <w:rPr>
          <w:rFonts w:hint="eastAsia" w:ascii="Times New Roman" w:hAnsi="Times New Roman" w:eastAsia="方正仿宋_GBK" w:cs="Times New Roman"/>
          <w:color w:val="auto"/>
          <w:sz w:val="32"/>
          <w:szCs w:val="32"/>
        </w:rPr>
        <w:t>江阴港做大做强跨境电商“1210”“9810”业务和进口冷链物流，建设区域性冷链分拨中心，培育口岸经济新增长极。同时加快布局未来产业，探索在江阴综合保税区或临近港区的物流园内设立“空港服务前置仓”“智造服务产业园”，吸引航空零部件制造、高端装备保税再制造等产业集聚，推动港区、园区、城区三区融合，打造现代化港产城融合示范区；支持南通港拓展生物制造赛道，依托蓝海新材料项目建设合成生物产业创新研究院，争创国家合成生物与化工耦合产业创新中心。</w:t>
      </w:r>
    </w:p>
    <w:p>
      <w:pPr>
        <w:spacing w:line="587" w:lineRule="exact"/>
        <w:ind w:firstLine="642"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3. 提升临空、临港产业融合。</w:t>
      </w:r>
      <w:r>
        <w:rPr>
          <w:rFonts w:hint="eastAsia" w:ascii="Times New Roman" w:hAnsi="Times New Roman" w:eastAsia="方正仿宋_GBK" w:cs="Times New Roman"/>
          <w:color w:val="auto"/>
          <w:sz w:val="32"/>
          <w:szCs w:val="32"/>
        </w:rPr>
        <w:t>聚焦临空与临港产业协同，依托基础设施互联互通与信息共享机制，推动临空高附加值产业与临港重型装备制造、汽车出口等优势产业在供应链、价值链上精准对接、互补发展，形成“临空赋能提质、临港扩量增效”的双向融合发展格局。一方面，加快推进疏港铁路、公路建设以及高等级内河航道网络的完善，大力发展“空空联运”“区港联动”等多式联运模式，实现航空货运站与港口码头的快速对接、无缝转运，减少货物中转时间与物流成本。</w:t>
      </w:r>
      <w:r>
        <w:rPr>
          <w:rFonts w:hint="eastAsia" w:ascii="Times New Roman" w:hAnsi="Times New Roman" w:eastAsia="方正仿宋_GBK" w:cs="Times New Roman"/>
          <w:color w:val="auto"/>
          <w:kern w:val="0"/>
          <w:sz w:val="32"/>
          <w:szCs w:val="28"/>
        </w:rPr>
        <w:t>适度超前完善南京、无锡、南通机场的快递、冷链、医药、危险品及“空空联运”中转场地等货站设施及指定监管场地；</w:t>
      </w:r>
      <w:r>
        <w:rPr>
          <w:rFonts w:hint="eastAsia" w:ascii="Times New Roman" w:hAnsi="Times New Roman" w:eastAsia="方正仿宋_GBK" w:cs="Times New Roman"/>
          <w:color w:val="auto"/>
          <w:sz w:val="32"/>
          <w:szCs w:val="32"/>
        </w:rPr>
        <w:t>推动连云港港建设连接机场与港区的快速货运通道，发展“空港提货、港口直装”的“空海陆”多式联运模式，为企业提供“一次委托、一单到底”的集成化物流解决方案；推进泰州港与上海港、宁波港等港口的合作，建立航线共享、货物中转等合作机制，利用其航空货运网络优势，开拓国际市场，促进临空临港的产业联动。另一方面，努力做到以“港”为基，做强临港高端制造与供应链管理，以“空”为翼，延伸发展高价值、临空依赖型产业，以“数”为脉，推动数据互联互通，共享供应链与市场资源，实现资源最优配置。</w:t>
      </w:r>
      <w:r>
        <w:rPr>
          <w:rFonts w:ascii="Times New Roman" w:hAnsi="Times New Roman" w:eastAsia="方正仿宋_GBK" w:cs="Times New Roman"/>
          <w:snapToGrid w:val="0"/>
          <w:color w:val="auto"/>
          <w:kern w:val="0"/>
          <w:sz w:val="32"/>
          <w:szCs w:val="28"/>
        </w:rPr>
        <w:t>支持建设国家级南京临空经济示范区，推进区港一体规划、合作运营，</w:t>
      </w:r>
      <w:r>
        <w:rPr>
          <w:rFonts w:hint="eastAsia" w:ascii="Times New Roman" w:hAnsi="Times New Roman" w:eastAsia="方正仿宋_GBK" w:cs="Times New Roman"/>
          <w:snapToGrid w:val="0"/>
          <w:color w:val="auto"/>
          <w:kern w:val="0"/>
          <w:sz w:val="32"/>
          <w:szCs w:val="28"/>
        </w:rPr>
        <w:t>鼓励示范区申报空港综保区，放大服务业扩大开放综合试点政策优势，探索建设航空飞机维修基地，规划培育飞机租赁、航材保税、生物医药保税研发生产等临空重点产业；</w:t>
      </w:r>
      <w:commentRangeStart w:id="1"/>
      <w:r>
        <w:rPr>
          <w:rFonts w:ascii="Times New Roman" w:hAnsi="Times New Roman" w:eastAsia="方正仿宋_GBK" w:cs="Times New Roman"/>
          <w:snapToGrid w:val="0"/>
          <w:color w:val="auto"/>
          <w:kern w:val="0"/>
          <w:sz w:val="32"/>
          <w:szCs w:val="28"/>
        </w:rPr>
        <w:t>支持无锡</w:t>
      </w:r>
      <w:r>
        <w:rPr>
          <w:rFonts w:hint="eastAsia" w:ascii="Times New Roman" w:hAnsi="Times New Roman" w:eastAsia="方正仿宋_GBK" w:cs="Times New Roman"/>
          <w:snapToGrid w:val="0"/>
          <w:color w:val="auto"/>
          <w:kern w:val="0"/>
          <w:sz w:val="32"/>
          <w:szCs w:val="28"/>
        </w:rPr>
        <w:t>、南通</w:t>
      </w:r>
      <w:r>
        <w:rPr>
          <w:rFonts w:ascii="Times New Roman" w:hAnsi="Times New Roman" w:eastAsia="方正仿宋_GBK" w:cs="Times New Roman"/>
          <w:snapToGrid w:val="0"/>
          <w:color w:val="auto"/>
          <w:kern w:val="0"/>
          <w:sz w:val="32"/>
          <w:szCs w:val="28"/>
        </w:rPr>
        <w:t>争创国家级临空经济示范区。</w:t>
      </w:r>
      <w:commentRangeEnd w:id="1"/>
      <w:r>
        <w:rPr>
          <w:color w:val="auto"/>
        </w:rPr>
        <w:commentReference w:id="1"/>
      </w:r>
      <w:r>
        <w:rPr>
          <w:rFonts w:ascii="Times New Roman" w:hAnsi="Times New Roman" w:eastAsia="方正仿宋_GBK" w:cs="Times New Roman"/>
          <w:snapToGrid w:val="0"/>
          <w:color w:val="auto"/>
          <w:kern w:val="0"/>
          <w:sz w:val="32"/>
          <w:szCs w:val="28"/>
        </w:rPr>
        <w:t>鼓励各机场打造航空运输、飞机维修、物流仓储等国际航空货运服务产业链，支持培育具有临空特色的现代服务、先进制造和智慧物流相关产业。</w:t>
      </w:r>
      <w:r>
        <w:rPr>
          <w:rFonts w:hint="eastAsia" w:ascii="Times New Roman" w:hAnsi="Times New Roman" w:eastAsia="方正仿宋_GBK" w:cs="Times New Roman"/>
          <w:color w:val="auto"/>
          <w:sz w:val="32"/>
          <w:szCs w:val="32"/>
        </w:rPr>
        <w:t>支持江阴港积极探索“江港-空港”双枢纽驱动模式，与无锡硕放机场、常州奔牛机场建立战略合作，延伸“临空经济”的服务半径；同时支持连云港港探索将港口的保税维修、保税研发政策向临空区域延伸，在综合保税区内发展的同时利用空港与海港资源的国际分拨、供应链管理等高端服务业，最终构建起“空港引领、海港支撑、区港联动、产业耦合”的现代化临空临港产业生态圈。</w:t>
      </w:r>
    </w:p>
    <w:p>
      <w:pPr>
        <w:spacing w:line="587" w:lineRule="exact"/>
        <w:ind w:firstLine="640" w:firstLineChars="200"/>
        <w:rPr>
          <w:rFonts w:ascii="方正楷体_GBK" w:hAnsi="Times New Roman" w:eastAsia="方正楷体_GBK" w:cs="Times New Roman"/>
          <w:color w:val="auto"/>
          <w:sz w:val="32"/>
          <w:szCs w:val="32"/>
        </w:rPr>
      </w:pPr>
      <w:r>
        <w:rPr>
          <w:rFonts w:hint="eastAsia" w:ascii="方正楷体_GBK" w:hAnsi="Times New Roman" w:eastAsia="方正楷体_GBK" w:cs="Times New Roman"/>
          <w:color w:val="auto"/>
          <w:sz w:val="32"/>
          <w:szCs w:val="32"/>
        </w:rPr>
        <w:t>（三）推进数智转型，提升口岸建设质量</w:t>
      </w:r>
    </w:p>
    <w:p>
      <w:pPr>
        <w:pStyle w:val="47"/>
        <w:spacing w:line="560" w:lineRule="exact"/>
        <w:ind w:firstLine="642"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b/>
          <w:bCs/>
          <w:color w:val="auto"/>
          <w:sz w:val="32"/>
          <w:szCs w:val="32"/>
        </w:rPr>
        <w:t>1. 全面建设智慧口岸。</w:t>
      </w:r>
      <w:r>
        <w:rPr>
          <w:rFonts w:hint="eastAsia" w:ascii="Times New Roman" w:hAnsi="Times New Roman" w:eastAsia="方正仿宋_GBK" w:cs="Times New Roman"/>
          <w:color w:val="auto"/>
          <w:sz w:val="32"/>
          <w:szCs w:val="32"/>
        </w:rPr>
        <w:t>落实《关于智慧口岸建设的指导意见》及配套行业标准，推动智慧口岸科学评价体系和成熟度模型应用，以标准化引领智慧口岸建设，促进智慧口岸建设水平整体提升。依托中国（江苏）国际贸易“单一窗口”一体化数字底座，创新运用先进设施设备和新一代数字技术，建设以口岸设施设备智能化、运营管理数字化、协同监管精准化、综合服务泛在化、区域合作机制化为主要特征的新型现代化江苏口岸。持续推进智慧口岸与智慧海关、智慧边检、智慧海事融合发展，初步建立口岸各参与主体智慧互联、协同联动、高效运行的良好生态。各口岸所在地人民政府根据口岸定位，因地制宜科学制定智慧口岸建设方案并推动实施，</w:t>
      </w:r>
      <w:r>
        <w:rPr>
          <w:rFonts w:ascii="Times New Roman" w:hAnsi="Times New Roman" w:eastAsia="方正仿宋_GBK"/>
          <w:color w:val="auto"/>
          <w:sz w:val="32"/>
          <w:szCs w:val="32"/>
        </w:rPr>
        <w:t>推进</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智慧口岸+</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特色加工、专业市场、商贸物流等，促进口岸经济发展。</w:t>
      </w:r>
      <w:r>
        <w:rPr>
          <w:rFonts w:hint="eastAsia" w:ascii="Times New Roman" w:hAnsi="Times New Roman" w:eastAsia="方正仿宋_GBK" w:cs="Times New Roman"/>
          <w:color w:val="auto"/>
          <w:sz w:val="32"/>
          <w:szCs w:val="32"/>
        </w:rPr>
        <w:t>推动枢纽口岸（南京空运、太仓水运、张家港水运、常熟水运、连云港水运）对标国际先进水平，加快智慧化建设，进一步发挥示范引领作用。推动区域节点口岸（南通水运、如皋水运、如东水运、启东水运、江阴水运）和重要专业口岸（南京水运、盐城水运、大丰水运、镇江水运等）智慧化建设取得突出成效，在一定区域和领域内形成示范效应；推动其他口岸加快推进设施设备和信息化建设，提升智慧化水平，强化跨部门协同，提高综合服务能力。支持建设并推选一批“五化”程度提升显著的口岸，作为“十五五”期间全省智慧口岸建设标杆，带动全省口岸高水平建设高质量发展。</w:t>
      </w:r>
    </w:p>
    <w:p>
      <w:pPr>
        <w:spacing w:line="587" w:lineRule="exact"/>
        <w:ind w:firstLine="642" w:firstLineChars="200"/>
        <w:rPr>
          <w:rFonts w:ascii="Times New Roman" w:hAnsi="Times New Roman" w:eastAsia="方正仿宋_GBK" w:cs="Times New Roman"/>
          <w:color w:val="auto"/>
          <w:sz w:val="32"/>
          <w:szCs w:val="32"/>
          <w:lang w:val="zh-TW"/>
        </w:rPr>
      </w:pPr>
      <w:r>
        <w:rPr>
          <w:rFonts w:hint="eastAsia" w:ascii="Times New Roman" w:hAnsi="Times New Roman" w:eastAsia="方正仿宋_GBK" w:cs="Times New Roman"/>
          <w:b/>
          <w:bCs/>
          <w:color w:val="auto"/>
          <w:sz w:val="32"/>
          <w:szCs w:val="32"/>
        </w:rPr>
        <w:t>2.深化“单一窗口”建设。</w:t>
      </w:r>
      <w:r>
        <w:rPr>
          <w:rFonts w:ascii="Times New Roman" w:hAnsi="Times New Roman" w:eastAsia="方正仿宋_GBK"/>
          <w:color w:val="auto"/>
          <w:sz w:val="32"/>
          <w:szCs w:val="32"/>
        </w:rPr>
        <w:t>全面推进国际贸易</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单一窗口</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数智化升级，</w:t>
      </w:r>
      <w:r>
        <w:rPr>
          <w:rFonts w:hint="eastAsia" w:ascii="Times New Roman" w:hAnsi="Times New Roman" w:eastAsia="方正仿宋_GBK" w:cs="Times New Roman"/>
          <w:color w:val="auto"/>
          <w:sz w:val="32"/>
          <w:szCs w:val="32"/>
        </w:rPr>
        <w:t>运用大数据、区块链、人工智能等新技术升级完善底层平台，增强“运维开发一体化”全流程数字化管理和服务能力，为全省智慧口岸建设提供有力数据支撑。强化省级“单一窗口”服务功能，积极推广“单一窗口”标准版功能，争取创新项目先行先试；持续开发江苏“单一窗口”特色应用，加快航空物流公共服务平台建设，推进“单一窗口”苏州专窗、中欧班列等特色服务专区建设，创新“通关+物流”“贸易+金融”服务模式，探索开发AI模型和智能化应用，推动建立智慧口岸综合服务专区，加强数据治理、挖掘、分析等能力，升级企业跨境贸易档案、金融服务、智能精准推送、复杂业务查询等大数据应用，进一步提升企业办事便利度。深化省市电子口岸互联互通，支持南京、江阴、常熟、张家港、太仓、南通、连云港、盐城、镇江等市（县）电子口岸平台根据口岸功能定位和产业发展特点，主攻地方特色应用，推动相关综合服务平台、物流平台、金融平台以及地方智慧口岸向省级“单一窗口”对接，推进从一站式服务向集约协同服务转型，深化信息系统集约整合和数据共享互通，共同构建全方位的江苏特色“单一窗口+”服务生态。坚持高标准运维管理，加强安全综合防护体系建设，保障系统运行安全稳定高效。</w:t>
      </w:r>
      <w:r>
        <w:rPr>
          <w:rFonts w:ascii="Times New Roman" w:hAnsi="Times New Roman" w:eastAsia="方正仿宋_GBK" w:cs="Times New Roman"/>
          <w:color w:val="auto"/>
          <w:sz w:val="32"/>
          <w:szCs w:val="32"/>
        </w:rPr>
        <w:t>积极参与长三角国际贸易</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单一窗口</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合作共建，</w:t>
      </w:r>
      <w:r>
        <w:rPr>
          <w:rFonts w:ascii="Times New Roman" w:hAnsi="Times New Roman" w:eastAsia="方正仿宋_GBK" w:cs="Times New Roman"/>
          <w:color w:val="auto"/>
          <w:sz w:val="32"/>
          <w:szCs w:val="32"/>
          <w:lang w:val="zh-TW"/>
        </w:rPr>
        <w:t>支持区域间信息共享与业务协同，推进口岸通关、物流、金融等相关服务深度融合，服务长三角区域联动发展。</w:t>
      </w:r>
    </w:p>
    <w:p>
      <w:pPr>
        <w:widowControl w:val="0"/>
        <w:spacing w:line="587" w:lineRule="exact"/>
        <w:ind w:firstLine="642"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rPr>
        <w:t>3. 推动口岸绿色转型。</w:t>
      </w:r>
      <w:r>
        <w:rPr>
          <w:rFonts w:hint="eastAsia" w:ascii="Times New Roman" w:hAnsi="Times New Roman" w:eastAsia="方正仿宋_GBK" w:cs="Times New Roman"/>
          <w:color w:val="auto"/>
          <w:sz w:val="32"/>
          <w:szCs w:val="32"/>
        </w:rPr>
        <w:t>推动口岸绿色基础设施建设。加快推进码头装卸装备、水平运输设备以及堆场装卸设备等自动化、智能化建设，加大航空低碳技术装备和设备应用，</w:t>
      </w:r>
      <w:r>
        <w:rPr>
          <w:rFonts w:ascii="Times New Roman" w:hAnsi="Times New Roman" w:eastAsia="方正仿宋_GBK" w:cs="Times New Roman"/>
          <w:snapToGrid w:val="0"/>
          <w:color w:val="auto"/>
          <w:kern w:val="0"/>
          <w:sz w:val="32"/>
          <w:szCs w:val="28"/>
        </w:rPr>
        <w:t>推进飞机辅助动力装置（APU）替代，不断提高机场APU替代使用率</w:t>
      </w:r>
      <w:r>
        <w:rPr>
          <w:rFonts w:hint="eastAsia" w:ascii="Times New Roman" w:hAnsi="Times New Roman" w:eastAsia="方正仿宋_GBK" w:cs="Times New Roman"/>
          <w:color w:val="auto"/>
          <w:sz w:val="32"/>
          <w:szCs w:val="32"/>
        </w:rPr>
        <w:t>。建设绿色港口和绿色航道，推广岸电系统，推动岸电使用常态化，确保江苏籍适改船舶完成受电设施改造，提高岸电使用率，推进新能源和清洁能源应用。构建绿色口岸运行体系。在口岸推动资源循环利用和废弃物减量化管理，推动运输、仓储、装卸等环节的节能降碳改造，持续推进</w:t>
      </w:r>
      <w:r>
        <w:rPr>
          <w:rFonts w:ascii="Times New Roman" w:hAnsi="Times New Roman" w:eastAsia="方正仿宋_GBK" w:cs="Times New Roman"/>
          <w:color w:val="auto"/>
          <w:sz w:val="32"/>
          <w:szCs w:val="32"/>
        </w:rPr>
        <w:t>干散货码头封闭式料仓和封闭式皮带机廊道运输系统</w:t>
      </w:r>
      <w:r>
        <w:rPr>
          <w:rFonts w:hint="eastAsia" w:ascii="Times New Roman" w:hAnsi="Times New Roman" w:eastAsia="方正仿宋_GBK" w:cs="Times New Roman"/>
          <w:color w:val="auto"/>
          <w:sz w:val="32"/>
          <w:szCs w:val="32"/>
        </w:rPr>
        <w:t>建设，支持开展大宗货物“散改集”技术改造，</w:t>
      </w:r>
      <w:r>
        <w:rPr>
          <w:rFonts w:ascii="Times New Roman" w:hAnsi="Times New Roman" w:eastAsia="方正仿宋_GBK" w:cs="Times New Roman"/>
          <w:color w:val="auto"/>
          <w:sz w:val="32"/>
          <w:szCs w:val="32"/>
        </w:rPr>
        <w:t>减少散货运输环境污染</w:t>
      </w:r>
      <w:r>
        <w:rPr>
          <w:rFonts w:hint="eastAsia" w:ascii="Times New Roman" w:hAnsi="Times New Roman" w:eastAsia="方正仿宋_GBK" w:cs="Times New Roman"/>
          <w:color w:val="auto"/>
          <w:sz w:val="32"/>
          <w:szCs w:val="32"/>
        </w:rPr>
        <w:t>，提高港口码头作业效率和环保水平。强化零碳示范，支持有条件的口岸建设可提供碳足迹在线核算服务港口，创建口岸“零碳港区”“零碳码头”。打造京杭运河、宿连航道等生态航道，创建近零碳船闸和水上服务区。</w:t>
      </w:r>
      <w:r>
        <w:rPr>
          <w:rFonts w:ascii="Times New Roman" w:hAnsi="Times New Roman" w:eastAsia="方正仿宋_GBK" w:cs="Times New Roman"/>
          <w:color w:val="auto"/>
          <w:sz w:val="32"/>
          <w:szCs w:val="32"/>
        </w:rPr>
        <w:t>强化港口污染防治</w:t>
      </w:r>
      <w:r>
        <w:rPr>
          <w:rFonts w:hint="eastAsia" w:ascii="Times New Roman" w:hAnsi="Times New Roman" w:eastAsia="方正仿宋_GBK" w:cs="Times New Roman"/>
          <w:color w:val="auto"/>
          <w:sz w:val="32"/>
          <w:szCs w:val="32"/>
        </w:rPr>
        <w:t>，大力推进</w:t>
      </w:r>
      <w:r>
        <w:rPr>
          <w:rFonts w:ascii="Times New Roman" w:hAnsi="Times New Roman" w:eastAsia="方正仿宋_GBK" w:cs="Times New Roman"/>
          <w:color w:val="auto"/>
          <w:sz w:val="32"/>
          <w:szCs w:val="32"/>
        </w:rPr>
        <w:t>船舶污染物转移处置联合监管</w:t>
      </w:r>
      <w:r>
        <w:rPr>
          <w:rFonts w:hint="eastAsia" w:ascii="Times New Roman" w:hAnsi="Times New Roman" w:eastAsia="方正仿宋_GBK" w:cs="Times New Roman"/>
          <w:color w:val="auto"/>
          <w:sz w:val="32"/>
          <w:szCs w:val="32"/>
        </w:rPr>
        <w:t>，加快实现</w:t>
      </w:r>
      <w:r>
        <w:rPr>
          <w:rFonts w:ascii="Times New Roman" w:hAnsi="Times New Roman" w:eastAsia="方正仿宋_GBK" w:cs="Times New Roman"/>
          <w:color w:val="auto"/>
          <w:sz w:val="32"/>
          <w:szCs w:val="32"/>
        </w:rPr>
        <w:t>码头船舶垃圾、船舶生活污水、船舶含油污水接收设施全覆盖，确保上岸污染物依法合规处置。</w:t>
      </w:r>
    </w:p>
    <w:p>
      <w:pPr>
        <w:spacing w:line="587" w:lineRule="exact"/>
        <w:ind w:firstLine="640" w:firstLineChars="200"/>
        <w:rPr>
          <w:rFonts w:ascii="方正楷体_GBK" w:hAnsi="Times New Roman" w:eastAsia="方正楷体_GBK" w:cs="Times New Roman"/>
          <w:color w:val="auto"/>
          <w:sz w:val="32"/>
          <w:szCs w:val="32"/>
        </w:rPr>
      </w:pPr>
      <w:r>
        <w:rPr>
          <w:rFonts w:hint="eastAsia" w:ascii="方正楷体_GBK" w:hAnsi="Times New Roman" w:eastAsia="方正楷体_GBK" w:cs="Times New Roman"/>
          <w:color w:val="auto"/>
          <w:sz w:val="32"/>
          <w:szCs w:val="32"/>
        </w:rPr>
        <w:t>（四）对接国际规则，优化口岸营商环境</w:t>
      </w:r>
    </w:p>
    <w:p>
      <w:pPr>
        <w:spacing w:line="587" w:lineRule="exact"/>
        <w:ind w:firstLine="642"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b/>
          <w:bCs/>
          <w:color w:val="auto"/>
          <w:sz w:val="32"/>
          <w:szCs w:val="32"/>
        </w:rPr>
        <w:t>1. 推进通关改革。</w:t>
      </w:r>
      <w:r>
        <w:rPr>
          <w:rFonts w:hint="eastAsia" w:ascii="Times New Roman" w:hAnsi="Times New Roman" w:eastAsia="方正仿宋_GBK" w:cs="Times New Roman"/>
          <w:color w:val="auto"/>
          <w:sz w:val="32"/>
          <w:szCs w:val="32"/>
          <w:lang w:val="zh-TW"/>
        </w:rPr>
        <w:t>贯彻落实海关总署促进跨境贸易便利化专项行动部署，立足江苏口岸实际，持续推进海关优化进口LNG检验监管模式，实施“即靠、即检、即卸”；边检7×24小时通关保障和行政许可“一地办证、区域通用”；海事监管服务一体化等创新举措，拓展“提前申报”“两步申报”“两段准入”等功能应用范围，推广“提前申报”“机坪直提”“船边直提”等便利措施，进一步压缩国际航行船舶进出口岸整体通关时间。逐步打造“产业定制化通关方案”，针对“新三样” 出口，推出“新能源产品通关包”，实现锂电池“一次查验、全域通用”，尝试在盐城港推广“新能源汽车动力电池分箱发运出口模式”；探索“新三样”危险货物水水中转运输新模式，支持常州港建设“新能源产品专用口岸功能区”。针对生物医药产业，实施“生物医药通关白名单”，对符合条件的企业给予“提前申报、优先查验”，支持江阴港深入推进生物医药研发用物品进口“白名单”试点、战略性新兴产业进口危险化学品“白名单”管理制度等重点产业便利化改革举措。在充分</w:t>
      </w:r>
      <w:r>
        <w:rPr>
          <w:rFonts w:hint="eastAsia" w:ascii="Times New Roman" w:hAnsi="Times New Roman" w:eastAsia="方正仿宋_GBK" w:cs="Times New Roman"/>
          <w:color w:val="auto"/>
          <w:sz w:val="32"/>
          <w:szCs w:val="32"/>
        </w:rPr>
        <w:t>利用信息化手段加强口岸整体作业时间监测，优化预裁定作业流程，实施人工预审，及时分析处置异动情况，推进口岸作业时间精细化分段管理的同时，积极复制自贸区改革创新经验，探索推出沪苏太一体“联动接卸”模式；创新综保区通关模式，推行“一票多车”模式，允许企业整包分送、单车进出区，减少重复申报，提升物流周转效率。</w:t>
      </w:r>
    </w:p>
    <w:p>
      <w:pPr>
        <w:pStyle w:val="14"/>
        <w:spacing w:line="587" w:lineRule="exact"/>
        <w:ind w:firstLine="642" w:firstLineChars="200"/>
        <w:jc w:val="both"/>
        <w:rPr>
          <w:rFonts w:eastAsia="方正仿宋_GBK"/>
          <w:b w:val="0"/>
          <w:bCs w:val="0"/>
          <w:color w:val="auto"/>
          <w:sz w:val="32"/>
          <w:szCs w:val="32"/>
          <w:lang w:val="en"/>
        </w:rPr>
      </w:pPr>
      <w:r>
        <w:rPr>
          <w:rFonts w:hint="eastAsia" w:eastAsia="方正仿宋_GBK"/>
          <w:color w:val="auto"/>
          <w:sz w:val="32"/>
          <w:szCs w:val="32"/>
        </w:rPr>
        <w:t>2. 推动制度型开放。</w:t>
      </w:r>
      <w:r>
        <w:rPr>
          <w:rFonts w:hint="eastAsia" w:eastAsia="方正仿宋_GBK"/>
          <w:b w:val="0"/>
          <w:bCs w:val="0"/>
          <w:color w:val="auto"/>
          <w:sz w:val="32"/>
          <w:szCs w:val="32"/>
          <w:lang w:val="en"/>
        </w:rPr>
        <w:t>以制度型开放为核心引擎，</w:t>
      </w:r>
      <w:r>
        <w:rPr>
          <w:rFonts w:hint="eastAsia" w:eastAsia="方正仿宋_GBK"/>
          <w:b w:val="0"/>
          <w:bCs w:val="0"/>
          <w:color w:val="auto"/>
          <w:sz w:val="32"/>
          <w:szCs w:val="32"/>
        </w:rPr>
        <w:t>着眼对标RCEP、CPTPP、DEPA等高标准经贸规则，在数字贸易、跨境数据流动、知识产权保护等领域进行差异化探索，建立与贸易新业态新模式相融合、与国际通行规则相衔接的口岸监管制度体系，力争实现贸易规则“软联通”。持续加大海关高级认证企业AEO培育力度，提升企业国际市场认可度和便利化水平，降低企业制度性交易成本。主动融入长三角一体化等国家战略，探索建立与国际接轨的航运服务、跨境电商、大宗商品贸易等领域的制度体系和监管模式，旨在营造稳定、透明、可预期的国际化一流口岸营商环境。</w:t>
      </w:r>
      <w:r>
        <w:rPr>
          <w:rFonts w:eastAsia="方正仿宋_GBK"/>
          <w:b w:val="0"/>
          <w:bCs w:val="0"/>
          <w:color w:val="auto"/>
          <w:sz w:val="32"/>
          <w:szCs w:val="32"/>
          <w:lang w:val="en"/>
        </w:rPr>
        <w:t>落实特殊物品监管机制，</w:t>
      </w:r>
      <w:r>
        <w:rPr>
          <w:rFonts w:hint="eastAsia" w:eastAsia="方正仿宋_GBK"/>
          <w:b w:val="0"/>
          <w:bCs w:val="0"/>
          <w:color w:val="auto"/>
          <w:sz w:val="32"/>
          <w:szCs w:val="32"/>
          <w:lang w:val="en"/>
        </w:rPr>
        <w:t>支持泰州建立进出境特殊物品联合监管机制，采用“白名单＋一次评估三年有效”的模式，将碎片化监管整合为“企业安全体系＋综合审批＋全链条监管”一体化管理，提升通关时效。</w:t>
      </w:r>
      <w:r>
        <w:rPr>
          <w:rFonts w:eastAsia="方正仿宋_GBK"/>
          <w:b w:val="0"/>
          <w:bCs w:val="0"/>
          <w:color w:val="auto"/>
          <w:sz w:val="32"/>
          <w:szCs w:val="32"/>
          <w:lang w:val="en"/>
        </w:rPr>
        <w:t>优化跨境电商监管模式，</w:t>
      </w:r>
      <w:r>
        <w:rPr>
          <w:rFonts w:hint="eastAsia" w:eastAsia="方正仿宋_GBK"/>
          <w:b w:val="0"/>
          <w:bCs w:val="0"/>
          <w:color w:val="auto"/>
          <w:sz w:val="32"/>
          <w:szCs w:val="32"/>
          <w:lang w:val="en"/>
        </w:rPr>
        <w:t>支持盐城港</w:t>
      </w:r>
      <w:r>
        <w:rPr>
          <w:rFonts w:eastAsia="方正仿宋_GBK"/>
          <w:b w:val="0"/>
          <w:bCs w:val="0"/>
          <w:color w:val="auto"/>
          <w:sz w:val="32"/>
          <w:szCs w:val="32"/>
          <w:lang w:val="en"/>
        </w:rPr>
        <w:t>推广“跨境电商+海外仓”模式，完善跨境电商退换货监管流程，提升跨境电商贸易便利化水平</w:t>
      </w:r>
      <w:r>
        <w:rPr>
          <w:rFonts w:hint="eastAsia" w:eastAsia="方正仿宋_GBK"/>
          <w:b w:val="0"/>
          <w:bCs w:val="0"/>
          <w:color w:val="auto"/>
          <w:sz w:val="32"/>
          <w:szCs w:val="32"/>
          <w:lang w:val="en"/>
        </w:rPr>
        <w:t>，同时</w:t>
      </w:r>
      <w:r>
        <w:rPr>
          <w:rFonts w:eastAsia="方正仿宋_GBK"/>
          <w:b w:val="0"/>
          <w:bCs w:val="0"/>
          <w:color w:val="auto"/>
          <w:sz w:val="32"/>
          <w:szCs w:val="32"/>
          <w:lang w:val="en"/>
        </w:rPr>
        <w:t>加强与“一带一路”沿线国家和地区口岸合作，探索建立信息互换、监管互认、执法互助的“三互”合作机制，推动签署双边或多边口岸合作协议，提升国际通关协作水平</w:t>
      </w:r>
      <w:r>
        <w:rPr>
          <w:rFonts w:hint="eastAsia" w:eastAsia="方正仿宋_GBK"/>
          <w:b w:val="0"/>
          <w:bCs w:val="0"/>
          <w:color w:val="auto"/>
          <w:sz w:val="32"/>
          <w:szCs w:val="32"/>
          <w:lang w:val="en"/>
        </w:rPr>
        <w:t>。</w:t>
      </w:r>
      <w:r>
        <w:rPr>
          <w:rFonts w:eastAsia="方正仿宋_GBK"/>
          <w:b w:val="0"/>
          <w:bCs w:val="0"/>
          <w:color w:val="auto"/>
          <w:sz w:val="32"/>
          <w:szCs w:val="32"/>
          <w:lang w:val="en"/>
        </w:rPr>
        <w:t>推进“诚信口岸”建设，建立审批、监管、执法、信用等环节一体联动制度，推动审批、监管、执法、信用等环节数据共享和业务协调，实现口岸领域信用应用全覆盖</w:t>
      </w:r>
      <w:r>
        <w:rPr>
          <w:rFonts w:hint="eastAsia" w:eastAsia="方正仿宋_GBK"/>
          <w:b w:val="0"/>
          <w:bCs w:val="0"/>
          <w:color w:val="auto"/>
          <w:sz w:val="32"/>
          <w:szCs w:val="32"/>
          <w:lang w:val="en"/>
        </w:rPr>
        <w:t>。</w:t>
      </w:r>
    </w:p>
    <w:p>
      <w:pPr>
        <w:spacing w:line="587" w:lineRule="exact"/>
        <w:ind w:firstLine="642" w:firstLineChars="200"/>
        <w:rPr>
          <w:rFonts w:ascii="方正仿宋_GBK" w:eastAsia="方正仿宋_GBK"/>
          <w:color w:val="auto"/>
          <w:sz w:val="32"/>
          <w:szCs w:val="32"/>
          <w:lang w:val="zh-TW"/>
        </w:rPr>
      </w:pPr>
      <w:r>
        <w:rPr>
          <w:rFonts w:ascii="Times New Roman" w:hAnsi="Times New Roman" w:eastAsia="方正仿宋_GBK" w:cs="Times New Roman"/>
          <w:b/>
          <w:bCs/>
          <w:color w:val="auto"/>
          <w:sz w:val="32"/>
          <w:szCs w:val="32"/>
          <w:lang w:val="en"/>
        </w:rPr>
        <w:t>3</w:t>
      </w:r>
      <w:r>
        <w:rPr>
          <w:rFonts w:ascii="Times New Roman" w:hAnsi="Times New Roman" w:eastAsia="方正仿宋_GBK" w:cs="Times New Roman"/>
          <w:b/>
          <w:bCs/>
          <w:color w:val="auto"/>
          <w:sz w:val="32"/>
          <w:szCs w:val="32"/>
        </w:rPr>
        <w:t xml:space="preserve">. </w:t>
      </w:r>
      <w:r>
        <w:rPr>
          <w:rFonts w:hint="eastAsia" w:ascii="Times New Roman" w:hAnsi="Times New Roman" w:eastAsia="方正仿宋_GBK" w:cs="Times New Roman"/>
          <w:b/>
          <w:bCs/>
          <w:color w:val="auto"/>
          <w:sz w:val="32"/>
          <w:szCs w:val="32"/>
        </w:rPr>
        <w:t>提升服务效能。</w:t>
      </w:r>
      <w:r>
        <w:rPr>
          <w:rFonts w:hint="eastAsia" w:ascii="Times New Roman" w:hAnsi="Times New Roman" w:eastAsia="方正仿宋_GBK" w:cs="Times New Roman"/>
          <w:color w:val="auto"/>
          <w:sz w:val="32"/>
          <w:szCs w:val="32"/>
        </w:rPr>
        <w:t>提高口岸服务能力，通过数字化、智能化和精细化服务，加快聚拢一批运输物流、跨境贸易、会展仓储、专业市场、电子商务、金融服务等功能性企业，促进人流、物流、资金流和信息流集聚；加强与交通、发改、海关等相关部门协调配合，实现信息互换、监管互认、执法互助，打破数据壁垒，强化港口对货物出港实施动态的掌握能力，科学优化港区作业调度和资源配置，构建手续简便、流程优化、通关高效、监管智能的现代化口岸通关体系，全面提升口岸运营效率和综合服务能力，增强企业获得感。</w:t>
      </w:r>
      <w:r>
        <w:rPr>
          <w:rFonts w:hint="eastAsia" w:ascii="方正仿宋_GBK" w:eastAsia="方正仿宋_GBK"/>
          <w:color w:val="auto"/>
          <w:sz w:val="32"/>
          <w:szCs w:val="32"/>
          <w:lang w:val="zh-TW"/>
        </w:rPr>
        <w:t>大力推进“沪苏通”等外贸支线品牌建设，推动口岸与海关特殊监管区联动发展，依托江苏自贸试验区、综合保税区等开放平台，对标世界银行营商环境评估新体系、新标准，推进贸易监管服务等改革创新。</w:t>
      </w:r>
      <w:r>
        <w:rPr>
          <w:rFonts w:hint="eastAsia" w:ascii="方正仿宋_GBK" w:hAnsi="方正仿宋_GBK" w:eastAsia="方正仿宋_GBK" w:cs="方正仿宋_GBK"/>
          <w:color w:val="auto"/>
          <w:sz w:val="32"/>
          <w:szCs w:val="32"/>
        </w:rPr>
        <w:t>加大口岸功能建设力度，积极推动指定监管场地业务规模化发展，大力拓展</w:t>
      </w:r>
      <w:r>
        <w:rPr>
          <w:rFonts w:hint="eastAsia" w:ascii="方正仿宋_GBK" w:eastAsia="方正仿宋_GBK"/>
          <w:color w:val="auto"/>
          <w:sz w:val="32"/>
          <w:szCs w:val="32"/>
        </w:rPr>
        <w:t>“口岸+”增值服务，打造华东地区有影响力的进口生鲜产品特色口岸。坚持正向激励与反向倒逼相结合，构建动态评估监测体系，制定口岸营商环境评估指南，引导开放码头自觉提高开放整体效益。</w:t>
      </w:r>
      <w:r>
        <w:rPr>
          <w:rFonts w:hint="eastAsia" w:ascii="方正仿宋_GBK" w:eastAsia="方正仿宋_GBK"/>
          <w:color w:val="auto"/>
          <w:sz w:val="32"/>
          <w:szCs w:val="32"/>
          <w:lang w:val="zh-TW"/>
        </w:rPr>
        <w:t>严格落实口岸涉企经营服务性收费目录清单制度，</w:t>
      </w:r>
      <w:r>
        <w:rPr>
          <w:rFonts w:hint="eastAsia" w:ascii="方正仿宋_GBK" w:eastAsia="方正仿宋_GBK"/>
          <w:color w:val="auto"/>
          <w:sz w:val="32"/>
          <w:szCs w:val="32"/>
        </w:rPr>
        <w:t>巩固完善口岸收费目录清单公示制度，有序推进口岸收费主体通过“单一窗口”公开收费标准、服务项目等信息，增强口岸收费透明度和可比性；落实精简口岸监管证件和联网核查工作，降低企业通关成本；规范物流、仓储等各环节经营服务费用，加大口岸收费监管力度，持续加强口岸收费监督。</w:t>
      </w:r>
    </w:p>
    <w:p>
      <w:pPr>
        <w:spacing w:line="587"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（五）强化综合管控，规范口岸运营秩序</w:t>
      </w:r>
    </w:p>
    <w:p>
      <w:pPr>
        <w:pStyle w:val="14"/>
        <w:spacing w:line="587" w:lineRule="exact"/>
        <w:ind w:firstLine="642" w:firstLineChars="200"/>
        <w:jc w:val="both"/>
        <w:rPr>
          <w:rFonts w:eastAsia="方正仿宋_GBK"/>
          <w:b w:val="0"/>
          <w:bCs w:val="0"/>
          <w:color w:val="auto"/>
          <w:sz w:val="32"/>
          <w:szCs w:val="32"/>
        </w:rPr>
      </w:pPr>
      <w:r>
        <w:rPr>
          <w:rFonts w:eastAsia="方正仿宋_GBK"/>
          <w:color w:val="auto"/>
          <w:sz w:val="32"/>
          <w:szCs w:val="32"/>
        </w:rPr>
        <w:t>1. 加强安全防控。</w:t>
      </w:r>
      <w:r>
        <w:rPr>
          <w:rFonts w:eastAsia="方正仿宋_GBK"/>
          <w:b w:val="0"/>
          <w:bCs w:val="0"/>
          <w:color w:val="auto"/>
          <w:sz w:val="32"/>
          <w:szCs w:val="32"/>
        </w:rPr>
        <w:t>深入推进口岸安全联合防控体系建设，进一步加强口岸部门信息共享，健全口岸安全风险预警机制，不断提高口岸风险联合研判预警水平。完善公共卫生等领域突发事件应急方案，提高精准防控装备设施应用水平，完善排查、排序、排除、跟踪评价和责任落实制度，一体推进口岸风险预测、预判、预警、预演工作，统筹协调解决影响口岸安全的重大事项，实现口岸安全风险全链路、全周期、闭环式防控管理。建立健全口岸平急转换机制，制定完善平急转换应急响应处置预案，注重提升口岸平急结合转换效能，确保极端情况下常态运行保障迅速转换升级为战备应急状态，保障产业链供应链安全，更好服务于国家战略。强化口岸战备应急联动，加快构建跨部门、跨区域的高效协同、联合处置应急支援网络，统筹实施协调处置、救援保障、舆情应对等工作。严密防范和坚决打击跨境暴力恐怖等非法活动，强化口岸场地和人员安全管控。持续推进“智慧旅检”优化升级，支持具备条件的口岸推广“一机双屏，一次过检”模式，实现旅客“无感通关”新体验。严厉打击重点渠道、重点领域、重点商品出口走私，严厉打击濒危物种及制品走私，严厉打击毒品走私，筑牢口岸货运监管防线。</w:t>
      </w:r>
    </w:p>
    <w:p>
      <w:pPr>
        <w:pStyle w:val="14"/>
        <w:spacing w:line="587" w:lineRule="exact"/>
        <w:ind w:firstLine="642" w:firstLineChars="200"/>
        <w:jc w:val="both"/>
        <w:rPr>
          <w:rFonts w:eastAsia="方正仿宋_GBK"/>
          <w:b w:val="0"/>
          <w:bCs w:val="0"/>
          <w:color w:val="auto"/>
          <w:sz w:val="32"/>
          <w:szCs w:val="32"/>
        </w:rPr>
      </w:pPr>
      <w:r>
        <w:rPr>
          <w:rFonts w:eastAsia="方正仿宋_GBK"/>
          <w:color w:val="auto"/>
          <w:sz w:val="32"/>
          <w:szCs w:val="32"/>
        </w:rPr>
        <w:t>2. 着眼协同治理。</w:t>
      </w:r>
      <w:r>
        <w:rPr>
          <w:rFonts w:eastAsia="方正仿宋_GBK"/>
          <w:b w:val="0"/>
          <w:bCs w:val="0"/>
          <w:color w:val="auto"/>
          <w:sz w:val="32"/>
          <w:szCs w:val="32"/>
        </w:rPr>
        <w:t>制定完善共建共治共享的口岸协同治理机制，加强口岸工作联合会商，推动口岸相关部门对口岸事物的共同参与、齐管共治、合力共建，为口岸治理现代化提供科学决策支撑。进一步整合优化口岸监管资源，建立健全跨部门纵横联动、各负其责、共管共治、高效协同的监管制度，持续完善口岸监管部门联合执法机制，落实信息互换、监管互认、执法互助，加强口岸监管协作，提升口岸监管效率。加强缉私、反恐、反偷渡、搜救等方面跨部门合作，实现高质量发展和高水平安全良性互动。推进长江经济带口岸监管部门监管信息互通和执法标准统一，增强口岸执法管控合力，共同推动口岸健康发展。强化口岸专业人才队伍建设，加强口岸专业教育培训，切实提高专业素质和业务水平，打造高素质专业化口岸管理干部队伍。加强战略性、系统性、前瞻性谋划，健全完善项目化、清单化等口岸工作推进机制，统筹抓好调度推进，切实解决实际问题，推动我省口岸高水平开放高质量发展。</w:t>
      </w:r>
    </w:p>
    <w:p>
      <w:pPr>
        <w:pStyle w:val="14"/>
        <w:spacing w:line="587" w:lineRule="exact"/>
        <w:ind w:firstLine="642" w:firstLineChars="200"/>
        <w:jc w:val="both"/>
        <w:rPr>
          <w:rFonts w:eastAsia="方正仿宋_GBK"/>
          <w:b w:val="0"/>
          <w:bCs w:val="0"/>
          <w:color w:val="auto"/>
          <w:sz w:val="32"/>
          <w:szCs w:val="32"/>
        </w:rPr>
      </w:pPr>
      <w:r>
        <w:rPr>
          <w:rFonts w:eastAsia="方正仿宋_GBK"/>
          <w:color w:val="auto"/>
          <w:sz w:val="32"/>
          <w:szCs w:val="32"/>
        </w:rPr>
        <w:t>3. 完善规章制度。</w:t>
      </w:r>
      <w:r>
        <w:rPr>
          <w:rFonts w:eastAsia="方正仿宋_GBK"/>
          <w:b w:val="0"/>
          <w:bCs w:val="0"/>
          <w:color w:val="auto"/>
          <w:sz w:val="32"/>
          <w:szCs w:val="32"/>
        </w:rPr>
        <w:t>严格落实国家口岸管理办公室关于口岸准入退出、验收、临时开放等管理办法，做好口岸综合绩效评估，加大口岸整合优化力度，推进口岸分级分类管理，提高口岸监管资源配置效率。落实《江苏省水运口岸码头泊位开放管理服务办法》，不断规范水运口岸码头、泊位开放流程，</w:t>
      </w:r>
      <w:r>
        <w:rPr>
          <w:rFonts w:hint="eastAsia" w:eastAsia="方正仿宋_GBK"/>
          <w:b w:val="0"/>
          <w:bCs w:val="0"/>
          <w:color w:val="auto"/>
          <w:sz w:val="32"/>
          <w:szCs w:val="32"/>
        </w:rPr>
        <w:t>按照“五个优先”原则，</w:t>
      </w:r>
      <w:r>
        <w:rPr>
          <w:rFonts w:eastAsia="方正仿宋_GBK"/>
          <w:b w:val="0"/>
          <w:bCs w:val="0"/>
          <w:color w:val="auto"/>
          <w:sz w:val="32"/>
          <w:szCs w:val="32"/>
        </w:rPr>
        <w:t>不断提升我省口岸对外开放水平，为提高口岸服务效能提供有力支撑。根据《江苏省开放码头运营评估实施办法》，在全省持续开展开放码头运营评估，遵循科学合理、导向引领、分类管理、公开透明的原则，对开放码头运营发展、效能水平、绿色智慧、法治安全等方面进行全面评估。根据《江苏省水运口岸码头泊位开放管理服务办法》相关要求及评估结果，对常年无外贸运量的码头泊位进行限期整改，并结合未来业务需求，加强动态退出管理。</w:t>
      </w:r>
    </w:p>
    <w:p>
      <w:pPr>
        <w:pStyle w:val="14"/>
        <w:spacing w:line="587" w:lineRule="exact"/>
        <w:ind w:firstLine="640" w:firstLineChars="200"/>
        <w:jc w:val="both"/>
        <w:rPr>
          <w:rFonts w:eastAsia="方正黑体_GBK"/>
          <w:b w:val="0"/>
          <w:bCs w:val="0"/>
          <w:color w:val="auto"/>
          <w:sz w:val="32"/>
          <w:szCs w:val="32"/>
        </w:rPr>
      </w:pPr>
      <w:r>
        <w:rPr>
          <w:rFonts w:eastAsia="方正黑体_GBK"/>
          <w:b w:val="0"/>
          <w:bCs w:val="0"/>
          <w:color w:val="auto"/>
          <w:sz w:val="32"/>
          <w:szCs w:val="32"/>
        </w:rPr>
        <w:t>五、实施保障</w:t>
      </w:r>
    </w:p>
    <w:p>
      <w:pPr>
        <w:spacing w:line="587" w:lineRule="exact"/>
        <w:ind w:firstLine="642" w:firstLineChars="200"/>
        <w:rPr>
          <w:rFonts w:ascii="Times New Roman" w:hAnsi="Times New Roman" w:eastAsia="方正仿宋_GBK" w:cs="Times New Roman"/>
          <w:color w:val="auto"/>
          <w:sz w:val="32"/>
          <w:szCs w:val="32"/>
        </w:rPr>
      </w:pPr>
      <w:r>
        <w:rPr>
          <w:rFonts w:ascii="Times New Roman" w:hAnsi="Times New Roman" w:eastAsia="方正仿宋_GBK" w:cs="Times New Roman"/>
          <w:b/>
          <w:bCs/>
          <w:color w:val="auto"/>
          <w:sz w:val="32"/>
          <w:szCs w:val="32"/>
        </w:rPr>
        <w:t>1. 加强组织领导。</w:t>
      </w:r>
      <w:r>
        <w:rPr>
          <w:rFonts w:ascii="Times New Roman" w:hAnsi="Times New Roman" w:eastAsia="方正仿宋_GBK" w:cs="Times New Roman"/>
          <w:color w:val="auto"/>
          <w:sz w:val="32"/>
          <w:szCs w:val="32"/>
        </w:rPr>
        <w:t>坚持用习近平新时代中国特色社会主义思想武装头脑，认真贯彻落实党中央、国务院决策部署，增强“四个意识”</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坚定“四个自信”</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做到“两个维护”。坚持在省开放型经济工作领导小组机制下，进一步完善口岸工作协调推进机制，协调解决推进中的重大问题。省商务厅负责组织协调，推进落实省“十五五”口岸发展规划实施。省</w:t>
      </w:r>
      <w:r>
        <w:rPr>
          <w:rFonts w:hint="eastAsia" w:ascii="Times New Roman" w:hAnsi="Times New Roman" w:eastAsia="方正仿宋_GBK" w:cs="Times New Roman"/>
          <w:color w:val="auto"/>
          <w:sz w:val="32"/>
          <w:szCs w:val="32"/>
          <w:lang w:eastAsia="zh-CN"/>
        </w:rPr>
        <w:t>级</w:t>
      </w:r>
      <w:r>
        <w:rPr>
          <w:rFonts w:ascii="Times New Roman" w:hAnsi="Times New Roman" w:eastAsia="方正仿宋_GBK" w:cs="Times New Roman"/>
          <w:color w:val="auto"/>
          <w:sz w:val="32"/>
          <w:szCs w:val="32"/>
        </w:rPr>
        <w:t>各有关部门按照职责分工，加强协同配合，增强工作合力，共同推动江苏口岸高质量发展。</w:t>
      </w:r>
    </w:p>
    <w:p>
      <w:pPr>
        <w:spacing w:line="587" w:lineRule="exact"/>
        <w:ind w:firstLine="642" w:firstLineChars="200"/>
        <w:rPr>
          <w:rFonts w:ascii="Times New Roman" w:hAnsi="Times New Roman" w:eastAsia="方正仿宋_GBK" w:cs="Times New Roman"/>
          <w:color w:val="auto"/>
          <w:sz w:val="32"/>
          <w:szCs w:val="32"/>
        </w:rPr>
      </w:pPr>
      <w:r>
        <w:rPr>
          <w:rFonts w:ascii="Times New Roman" w:hAnsi="Times New Roman" w:eastAsia="方正仿宋_GBK" w:cs="Times New Roman"/>
          <w:b/>
          <w:bCs/>
          <w:color w:val="auto"/>
          <w:sz w:val="32"/>
          <w:szCs w:val="32"/>
        </w:rPr>
        <w:t>2. 强化责任落实。</w:t>
      </w:r>
      <w:r>
        <w:rPr>
          <w:rFonts w:ascii="Times New Roman" w:hAnsi="Times New Roman" w:eastAsia="方正仿宋_GBK" w:cs="Times New Roman"/>
          <w:color w:val="auto"/>
          <w:sz w:val="32"/>
          <w:szCs w:val="32"/>
        </w:rPr>
        <w:t>各地口岸压实主体责任，完善本地区口岸工作协调推进机制，加强组织动员和推进实施。按照省“十五五”口岸发展规划相关要求，结合当地实际，做好与本地区经济社会发展“十五五”规划的衔接，进一步明确发展目标，细化分解任务，制定落实举措，逐项抓好落实，全力推动口岸高质量发展。</w:t>
      </w:r>
    </w:p>
    <w:p>
      <w:pPr>
        <w:pStyle w:val="49"/>
        <w:keepNext w:val="0"/>
        <w:keepLines w:val="0"/>
        <w:pageBreakBefore w:val="0"/>
        <w:tabs>
          <w:tab w:val="left" w:pos="1442"/>
        </w:tabs>
        <w:kinsoku/>
        <w:wordWrap/>
        <w:overflowPunct/>
        <w:topLinePunct w:val="0"/>
        <w:bidi w:val="0"/>
        <w:spacing w:line="580" w:lineRule="exact"/>
        <w:ind w:left="1918" w:leftChars="304" w:hanging="1280" w:hangingChars="400"/>
        <w:jc w:val="both"/>
        <w:rPr>
          <w:rFonts w:hint="eastAsia" w:ascii="Times New Roman" w:hAnsi="Times New Roman" w:eastAsia="方正仿宋_GBK" w:cs="Times New Roman"/>
          <w:color w:val="auto"/>
          <w:kern w:val="2"/>
          <w:sz w:val="32"/>
          <w:szCs w:val="32"/>
          <w:lang w:val="en-US" w:eastAsia="zh-CN" w:bidi="ar-SA"/>
          <w14:ligatures w14:val="standardContextual"/>
        </w:rPr>
      </w:pPr>
    </w:p>
    <w:p>
      <w:pPr>
        <w:pStyle w:val="49"/>
        <w:keepNext w:val="0"/>
        <w:keepLines w:val="0"/>
        <w:pageBreakBefore w:val="0"/>
        <w:tabs>
          <w:tab w:val="left" w:pos="1442"/>
        </w:tabs>
        <w:kinsoku/>
        <w:wordWrap/>
        <w:overflowPunct/>
        <w:topLinePunct w:val="0"/>
        <w:bidi w:val="0"/>
        <w:spacing w:line="580" w:lineRule="exact"/>
        <w:ind w:left="1918" w:leftChars="304" w:hanging="1280" w:hangingChars="400"/>
        <w:jc w:val="both"/>
        <w:rPr>
          <w:rFonts w:ascii="Times New Roman" w:hAnsi="Times New Roman" w:eastAsia="方正仿宋_GBK" w:cs="Times New Roman"/>
          <w:color w:val="auto"/>
          <w:kern w:val="2"/>
          <w:sz w:val="32"/>
          <w:szCs w:val="32"/>
          <w:lang w:val="en-US" w:eastAsia="zh-CN" w:bidi="ar-SA"/>
          <w14:ligatures w14:val="standardContextual"/>
        </w:rPr>
      </w:pPr>
      <w:r>
        <w:rPr>
          <w:rFonts w:hint="eastAsia" w:ascii="Times New Roman" w:hAnsi="Times New Roman" w:eastAsia="方正仿宋_GBK" w:cs="Times New Roman"/>
          <w:color w:val="auto"/>
          <w:kern w:val="2"/>
          <w:sz w:val="32"/>
          <w:szCs w:val="32"/>
          <w:lang w:val="en-US" w:eastAsia="zh-CN" w:bidi="ar-SA"/>
          <w14:ligatures w14:val="standardContextual"/>
        </w:rPr>
        <w:t>附件：</w:t>
      </w:r>
      <w:r>
        <w:rPr>
          <w:rFonts w:ascii="Times New Roman" w:hAnsi="Times New Roman" w:eastAsia="方正仿宋_GBK" w:cs="Times New Roman"/>
          <w:color w:val="auto"/>
          <w:kern w:val="2"/>
          <w:sz w:val="32"/>
          <w:szCs w:val="32"/>
          <w:lang w:val="en-US" w:eastAsia="zh-CN" w:bidi="ar-SA"/>
          <w14:ligatures w14:val="standardContextual"/>
        </w:rPr>
        <w:t>1．</w:t>
      </w:r>
      <w:r>
        <w:rPr>
          <w:rFonts w:hint="eastAsia" w:ascii="Times New Roman" w:hAnsi="Times New Roman" w:eastAsia="方正仿宋_GBK" w:cs="Times New Roman"/>
          <w:color w:val="auto"/>
          <w:kern w:val="2"/>
          <w:sz w:val="32"/>
          <w:szCs w:val="32"/>
          <w:lang w:val="en-US" w:eastAsia="zh-CN" w:bidi="ar-SA"/>
          <w14:ligatures w14:val="standardContextual"/>
        </w:rPr>
        <w:t>江苏水运口岸“十五五”期间外贸吞吐量及外贸集装箱运营目标表</w:t>
      </w:r>
    </w:p>
    <w:p>
      <w:pPr>
        <w:pStyle w:val="49"/>
        <w:keepNext w:val="0"/>
        <w:keepLines w:val="0"/>
        <w:pageBreakBefore w:val="0"/>
        <w:widowControl w:val="0"/>
        <w:tabs>
          <w:tab w:val="left" w:pos="1596"/>
        </w:tabs>
        <w:kinsoku/>
        <w:wordWrap/>
        <w:overflowPunct/>
        <w:topLinePunct w:val="0"/>
        <w:autoSpaceDE w:val="0"/>
        <w:autoSpaceDN w:val="0"/>
        <w:bidi w:val="0"/>
        <w:adjustRightInd w:val="0"/>
        <w:snapToGrid w:val="0"/>
        <w:spacing w:line="580" w:lineRule="exact"/>
        <w:ind w:left="1920" w:leftChars="0" w:hanging="1920" w:hangingChars="600"/>
        <w:jc w:val="both"/>
        <w:textAlignment w:val="auto"/>
        <w:rPr>
          <w:rFonts w:ascii="Times New Roman" w:hAnsi="Times New Roman" w:eastAsia="方正仿宋_GBK" w:cs="Times New Roman"/>
          <w:color w:val="auto"/>
          <w:kern w:val="2"/>
          <w:sz w:val="32"/>
          <w:szCs w:val="32"/>
          <w:lang w:val="en-US" w:eastAsia="zh-CN" w:bidi="ar-SA"/>
          <w14:ligatures w14:val="standardContextual"/>
        </w:rPr>
      </w:pPr>
      <w:r>
        <w:rPr>
          <w:rFonts w:hint="eastAsia" w:ascii="Times New Roman" w:hAnsi="Times New Roman" w:eastAsia="方正仿宋_GBK" w:cs="Times New Roman"/>
          <w:color w:val="auto"/>
          <w:kern w:val="2"/>
          <w:sz w:val="32"/>
          <w:szCs w:val="32"/>
          <w:lang w:val="en-US" w:eastAsia="zh-CN" w:bidi="ar-SA"/>
          <w14:ligatures w14:val="standardContextual"/>
        </w:rPr>
        <w:t xml:space="preserve">         </w:t>
      </w:r>
      <w:r>
        <w:rPr>
          <w:rFonts w:hint="eastAsia" w:ascii="Times New Roman" w:hAnsi="Times New Roman" w:eastAsia="方正仿宋_GBK" w:cs="Times New Roman"/>
          <w:color w:val="auto"/>
          <w:kern w:val="2"/>
          <w:sz w:val="32"/>
          <w:szCs w:val="32"/>
          <w:lang w:val="en-US" w:eastAsia="zh-CN" w:bidi="ar-SA"/>
          <w14:ligatures w14:val="standardContextual"/>
        </w:rPr>
        <w:tab/>
      </w:r>
      <w:r>
        <w:rPr>
          <w:rFonts w:ascii="Times New Roman" w:hAnsi="Times New Roman" w:eastAsia="方正仿宋_GBK" w:cs="Times New Roman"/>
          <w:color w:val="auto"/>
          <w:kern w:val="2"/>
          <w:sz w:val="32"/>
          <w:szCs w:val="32"/>
          <w:lang w:val="en-US" w:eastAsia="zh-CN" w:bidi="ar-SA"/>
          <w14:ligatures w14:val="standardContextual"/>
        </w:rPr>
        <w:t>2．</w:t>
      </w:r>
      <w:r>
        <w:rPr>
          <w:rFonts w:hint="eastAsia" w:ascii="Times New Roman" w:hAnsi="Times New Roman" w:eastAsia="方正仿宋_GBK" w:cs="Times New Roman"/>
          <w:color w:val="auto"/>
          <w:kern w:val="2"/>
          <w:sz w:val="32"/>
          <w:szCs w:val="32"/>
          <w:lang w:val="en-US" w:eastAsia="zh-CN" w:bidi="ar-SA"/>
          <w14:ligatures w14:val="standardContextual"/>
        </w:rPr>
        <w:t>江苏空运口岸“十五五”期间出入境人员及外贸货邮量运营目标表</w:t>
      </w:r>
    </w:p>
    <w:p>
      <w:pPr>
        <w:pStyle w:val="49"/>
        <w:keepNext w:val="0"/>
        <w:keepLines w:val="0"/>
        <w:pageBreakBefore w:val="0"/>
        <w:widowControl w:val="0"/>
        <w:tabs>
          <w:tab w:val="left" w:pos="1596"/>
        </w:tabs>
        <w:kinsoku/>
        <w:wordWrap/>
        <w:overflowPunct/>
        <w:topLinePunct w:val="0"/>
        <w:autoSpaceDE w:val="0"/>
        <w:autoSpaceDN w:val="0"/>
        <w:bidi w:val="0"/>
        <w:adjustRightInd w:val="0"/>
        <w:snapToGrid w:val="0"/>
        <w:spacing w:line="580" w:lineRule="exact"/>
        <w:ind w:left="1920" w:leftChars="0" w:hanging="1920" w:hangingChars="600"/>
        <w:jc w:val="both"/>
        <w:textAlignment w:val="auto"/>
        <w:rPr>
          <w:rFonts w:ascii="Times New Roman" w:hAnsi="Times New Roman" w:eastAsia="方正仿宋_GBK" w:cs="Times New Roman"/>
          <w:color w:val="auto"/>
          <w:kern w:val="2"/>
          <w:sz w:val="32"/>
          <w:szCs w:val="32"/>
          <w:lang w:val="en-US" w:eastAsia="zh-CN" w:bidi="ar-SA"/>
          <w14:ligatures w14:val="standardContextual"/>
        </w:rPr>
      </w:pPr>
      <w:r>
        <w:rPr>
          <w:rFonts w:hint="eastAsia" w:ascii="Times New Roman" w:hAnsi="Times New Roman" w:eastAsia="方正仿宋_GBK" w:cs="Times New Roman"/>
          <w:color w:val="auto"/>
          <w:kern w:val="2"/>
          <w:sz w:val="32"/>
          <w:szCs w:val="32"/>
          <w:lang w:val="en-US" w:eastAsia="zh-CN" w:bidi="ar-SA"/>
          <w14:ligatures w14:val="standardContextual"/>
        </w:rPr>
        <w:t xml:space="preserve">          3</w:t>
      </w:r>
      <w:r>
        <w:rPr>
          <w:rFonts w:ascii="Times New Roman" w:hAnsi="Times New Roman" w:eastAsia="方正仿宋_GBK" w:cs="Times New Roman"/>
          <w:color w:val="auto"/>
          <w:kern w:val="2"/>
          <w:sz w:val="32"/>
          <w:szCs w:val="32"/>
          <w:lang w:val="en-US" w:eastAsia="zh-CN" w:bidi="ar-SA"/>
          <w14:ligatures w14:val="standardContextual"/>
        </w:rPr>
        <w:t>．</w:t>
      </w:r>
      <w:r>
        <w:rPr>
          <w:rFonts w:hint="eastAsia" w:ascii="Times New Roman" w:hAnsi="Times New Roman" w:eastAsia="方正仿宋_GBK" w:cs="Times New Roman"/>
          <w:color w:val="auto"/>
          <w:kern w:val="2"/>
          <w:sz w:val="32"/>
          <w:szCs w:val="32"/>
          <w:lang w:val="en-US" w:eastAsia="zh-CN" w:bidi="ar-SA"/>
          <w14:ligatures w14:val="standardContextual"/>
        </w:rPr>
        <w:t>江苏“十五五”期间开放水域内码头泊位对外开放申报计划表</w:t>
      </w:r>
    </w:p>
    <w:p>
      <w:pPr>
        <w:pStyle w:val="49"/>
        <w:keepNext w:val="0"/>
        <w:keepLines w:val="0"/>
        <w:pageBreakBefore w:val="0"/>
        <w:widowControl w:val="0"/>
        <w:numPr>
          <w:ilvl w:val="0"/>
          <w:numId w:val="0"/>
        </w:numPr>
        <w:tabs>
          <w:tab w:val="left" w:pos="1596"/>
        </w:tabs>
        <w:kinsoku/>
        <w:wordWrap/>
        <w:overflowPunct/>
        <w:topLinePunct w:val="0"/>
        <w:autoSpaceDE w:val="0"/>
        <w:autoSpaceDN w:val="0"/>
        <w:bidi w:val="0"/>
        <w:adjustRightInd w:val="0"/>
        <w:snapToGrid w:val="0"/>
        <w:spacing w:line="580" w:lineRule="exact"/>
        <w:ind w:left="2091" w:leftChars="691" w:hanging="640" w:hangingChars="200"/>
        <w:jc w:val="both"/>
        <w:textAlignment w:val="auto"/>
        <w:rPr>
          <w:rFonts w:hint="eastAsia" w:ascii="Times New Roman" w:hAnsi="Times New Roman" w:eastAsia="方正仿宋_GBK" w:cs="Times New Roman"/>
          <w:color w:val="auto"/>
          <w:kern w:val="2"/>
          <w:sz w:val="32"/>
          <w:szCs w:val="32"/>
          <w:lang w:val="en-US" w:eastAsia="zh-CN" w:bidi="ar-SA"/>
          <w14:ligatures w14:val="standardContextual"/>
        </w:rPr>
      </w:pPr>
      <w:r>
        <w:rPr>
          <w:rFonts w:hint="eastAsia" w:ascii="Times New Roman" w:hAnsi="Times New Roman" w:eastAsia="方正仿宋_GBK" w:cs="Times New Roman"/>
          <w:color w:val="auto"/>
          <w:kern w:val="2"/>
          <w:sz w:val="32"/>
          <w:szCs w:val="32"/>
          <w:lang w:val="en-US" w:eastAsia="zh-CN" w:bidi="ar-SA"/>
          <w14:ligatures w14:val="standardContextual"/>
        </w:rPr>
        <w:tab/>
      </w:r>
      <w:r>
        <w:rPr>
          <w:rFonts w:hint="eastAsia" w:ascii="Times New Roman" w:hAnsi="Times New Roman" w:eastAsia="方正仿宋_GBK" w:cs="Times New Roman"/>
          <w:color w:val="auto"/>
          <w:kern w:val="2"/>
          <w:sz w:val="32"/>
          <w:szCs w:val="32"/>
          <w:lang w:val="en-US" w:eastAsia="zh-CN" w:bidi="ar-SA"/>
          <w14:ligatures w14:val="standardContextual"/>
        </w:rPr>
        <w:t>4</w:t>
      </w:r>
      <w:r>
        <w:rPr>
          <w:rFonts w:ascii="Times New Roman" w:hAnsi="Times New Roman" w:eastAsia="方正仿宋_GBK" w:cs="Times New Roman"/>
          <w:color w:val="auto"/>
          <w:kern w:val="2"/>
          <w:sz w:val="32"/>
          <w:szCs w:val="32"/>
          <w:lang w:val="en-US" w:eastAsia="zh-CN" w:bidi="ar-SA"/>
          <w14:ligatures w14:val="standardContextual"/>
        </w:rPr>
        <w:t>．</w:t>
      </w:r>
      <w:r>
        <w:rPr>
          <w:rFonts w:hint="eastAsia" w:ascii="Times New Roman" w:hAnsi="Times New Roman" w:eastAsia="方正仿宋_GBK" w:cs="Times New Roman"/>
          <w:color w:val="auto"/>
          <w:kern w:val="2"/>
          <w:sz w:val="32"/>
          <w:szCs w:val="32"/>
          <w:lang w:val="en-US" w:eastAsia="zh-CN" w:bidi="ar-SA"/>
          <w14:ligatures w14:val="standardContextual"/>
        </w:rPr>
        <w:t>江苏“十五五”期间</w:t>
      </w:r>
      <w:bookmarkStart w:id="0" w:name="_GoBack"/>
      <w:bookmarkEnd w:id="0"/>
      <w:r>
        <w:rPr>
          <w:rFonts w:hint="eastAsia" w:ascii="Times New Roman" w:hAnsi="Times New Roman" w:eastAsia="方正仿宋_GBK" w:cs="Times New Roman"/>
          <w:color w:val="auto"/>
          <w:kern w:val="2"/>
          <w:sz w:val="32"/>
          <w:szCs w:val="32"/>
          <w:lang w:val="en-US" w:eastAsia="zh-CN" w:bidi="ar-SA"/>
          <w14:ligatures w14:val="standardContextual"/>
        </w:rPr>
        <w:t>水运口岸海关指定监管场地立项申报计划表</w:t>
      </w:r>
    </w:p>
    <w:p>
      <w:pPr>
        <w:pStyle w:val="49"/>
        <w:keepNext w:val="0"/>
        <w:keepLines w:val="0"/>
        <w:pageBreakBefore w:val="0"/>
        <w:widowControl w:val="0"/>
        <w:numPr>
          <w:ilvl w:val="0"/>
          <w:numId w:val="0"/>
        </w:numPr>
        <w:tabs>
          <w:tab w:val="left" w:pos="1596"/>
        </w:tabs>
        <w:kinsoku/>
        <w:wordWrap/>
        <w:overflowPunct/>
        <w:topLinePunct w:val="0"/>
        <w:autoSpaceDE w:val="0"/>
        <w:autoSpaceDN w:val="0"/>
        <w:bidi w:val="0"/>
        <w:adjustRightInd w:val="0"/>
        <w:snapToGrid w:val="0"/>
        <w:spacing w:line="580" w:lineRule="exact"/>
        <w:ind w:left="1916" w:leftChars="760" w:hanging="320" w:hangingChars="100"/>
        <w:jc w:val="both"/>
        <w:textAlignment w:val="auto"/>
        <w:rPr>
          <w:rFonts w:hint="eastAsia" w:ascii="Times New Roman" w:hAnsi="Times New Roman" w:eastAsia="方正仿宋_GBK" w:cs="Times New Roman"/>
          <w:color w:val="auto"/>
          <w:kern w:val="2"/>
          <w:sz w:val="32"/>
          <w:szCs w:val="32"/>
          <w:lang w:val="en-US" w:eastAsia="zh-CN" w:bidi="ar-SA"/>
          <w14:ligatures w14:val="standardContextual"/>
        </w:rPr>
      </w:pPr>
      <w:r>
        <w:rPr>
          <w:rFonts w:hint="eastAsia" w:ascii="Times New Roman" w:hAnsi="Times New Roman" w:eastAsia="方正仿宋_GBK" w:cs="Times New Roman"/>
          <w:color w:val="auto"/>
          <w:kern w:val="2"/>
          <w:sz w:val="32"/>
          <w:szCs w:val="32"/>
          <w:lang w:val="en-US" w:eastAsia="zh-CN" w:bidi="ar-SA"/>
          <w14:ligatures w14:val="standardContextual"/>
        </w:rPr>
        <w:t>5</w:t>
      </w:r>
      <w:r>
        <w:rPr>
          <w:rFonts w:ascii="Times New Roman" w:hAnsi="Times New Roman" w:eastAsia="方正仿宋_GBK" w:cs="Times New Roman"/>
          <w:color w:val="auto"/>
          <w:kern w:val="2"/>
          <w:sz w:val="32"/>
          <w:szCs w:val="32"/>
          <w:lang w:val="en-US" w:eastAsia="zh-CN" w:bidi="ar-SA"/>
          <w14:ligatures w14:val="standardContextual"/>
        </w:rPr>
        <w:t>．</w:t>
      </w:r>
      <w:r>
        <w:rPr>
          <w:rFonts w:hint="eastAsia" w:ascii="Times New Roman" w:hAnsi="Times New Roman" w:eastAsia="方正仿宋_GBK" w:cs="Times New Roman"/>
          <w:color w:val="auto"/>
          <w:kern w:val="2"/>
          <w:sz w:val="32"/>
          <w:szCs w:val="32"/>
          <w:lang w:val="en-US" w:eastAsia="zh-CN" w:bidi="ar-SA"/>
          <w14:ligatures w14:val="standardContextual"/>
        </w:rPr>
        <w:t>江苏“十五五”期间空运口岸海关指定监管场地立项申报计划表</w:t>
      </w:r>
    </w:p>
    <w:p>
      <w:pPr>
        <w:pStyle w:val="2"/>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kern w:val="2"/>
          <w:sz w:val="32"/>
          <w:szCs w:val="32"/>
          <w:lang w:val="en-US" w:eastAsia="zh-CN" w:bidi="ar-SA"/>
          <w14:ligatures w14:val="standardContextual"/>
        </w:rPr>
        <w:t xml:space="preserve">        </w:t>
      </w:r>
    </w:p>
    <w:sectPr>
      <w:footerReference r:id="rId5" w:type="default"/>
      <w:pgSz w:w="11906" w:h="16838"/>
      <w:pgMar w:top="2098" w:right="1474" w:bottom="1984" w:left="158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5-11-27T09:11:00Z" w:initials="">
    <w:p w14:paraId="BF6FCDB1">
      <w:pPr>
        <w:pStyle w:val="13"/>
      </w:pPr>
      <w:r>
        <w:rPr>
          <w:rFonts w:hint="eastAsia"/>
        </w:rPr>
        <w:t>出处：南京</w:t>
      </w:r>
      <w:r>
        <w:rPr>
          <w:rFonts w:ascii="Arial" w:hAnsi="Arial" w:eastAsia="宋体" w:cs="Arial"/>
          <w:color w:val="333333"/>
          <w:sz w:val="24"/>
          <w:szCs w:val="24"/>
          <w:shd w:val="clear" w:color="auto" w:fill="FFFFFF"/>
        </w:rPr>
        <w:t>市政府办公厅关于支持南京临空经济示范区高质量发展的实施意见</w:t>
      </w:r>
    </w:p>
  </w:comment>
  <w:comment w:id="1" w:author="admin" w:date="2025-11-27T09:18:00Z" w:initials="">
    <w:p w14:paraId="6EBF1B21">
      <w:pPr>
        <w:pStyle w:val="13"/>
      </w:pPr>
      <w:r>
        <w:rPr>
          <w:rFonts w:hint="eastAsia"/>
        </w:rPr>
        <w:t>出处：20250926《江苏省“十五五”民航发展规划》</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F6FCDB1" w15:done="0"/>
  <w15:commentEx w15:paraId="6EBF1B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Lucida Sans">
    <w:altName w:val="Noto Sans"/>
    <w:panose1 w:val="020B0602030504020204"/>
    <w:charset w:val="00"/>
    <w:family w:val="swiss"/>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宋体S-超大字符集(SIP)">
    <w:panose1 w:val="03000509000000000000"/>
    <w:charset w:val="86"/>
    <w:family w:val="auto"/>
    <w:pitch w:val="default"/>
    <w:sig w:usb0="00000003" w:usb1="0A0E0800" w:usb2="00000006" w:usb3="00000000" w:csb0="00040001" w:csb1="00000000"/>
  </w:font>
  <w:font w:name="Noto Sans">
    <w:panose1 w:val="020B0502040504020204"/>
    <w:charset w:val="00"/>
    <w:family w:val="auto"/>
    <w:pitch w:val="default"/>
    <w:sig w:usb0="E00002FF" w:usb1="00000000" w:usb2="00000000" w:usb3="00000000" w:csb0="2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812850"/>
    </w:sdtPr>
    <w:sdtContent>
      <w:p>
        <w:pPr>
          <w:pStyle w:val="16"/>
          <w:jc w:val="center"/>
        </w:pPr>
        <w:r>
          <w:fldChar w:fldCharType="begin"/>
        </w:r>
        <w:r>
          <w:instrText xml:space="preserve">PAGE   \* MERGEFORMAT</w:instrText>
        </w:r>
        <w:r>
          <w:fldChar w:fldCharType="separate"/>
        </w:r>
        <w:r>
          <w:rPr>
            <w:lang w:val="zh-CN"/>
          </w:rPr>
          <w:t>22</w:t>
        </w:r>
        <w:r>
          <w:fldChar w:fldCharType="end"/>
        </w:r>
      </w:p>
    </w:sdtContent>
  </w:sdt>
  <w:p>
    <w:pPr>
      <w:pStyle w:val="1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92"/>
    <w:rsid w:val="00021C48"/>
    <w:rsid w:val="0015786C"/>
    <w:rsid w:val="001A4410"/>
    <w:rsid w:val="001F5ED6"/>
    <w:rsid w:val="00226D6A"/>
    <w:rsid w:val="00294A92"/>
    <w:rsid w:val="002E241F"/>
    <w:rsid w:val="003206D6"/>
    <w:rsid w:val="003E2B24"/>
    <w:rsid w:val="005B5C56"/>
    <w:rsid w:val="005F4201"/>
    <w:rsid w:val="00643163"/>
    <w:rsid w:val="00687512"/>
    <w:rsid w:val="00740585"/>
    <w:rsid w:val="00763853"/>
    <w:rsid w:val="007769FF"/>
    <w:rsid w:val="007C66C1"/>
    <w:rsid w:val="00846D3F"/>
    <w:rsid w:val="00914A6E"/>
    <w:rsid w:val="00967888"/>
    <w:rsid w:val="00987ECF"/>
    <w:rsid w:val="009B1DAB"/>
    <w:rsid w:val="009D6514"/>
    <w:rsid w:val="00A535E4"/>
    <w:rsid w:val="00AB1FD8"/>
    <w:rsid w:val="00B672E6"/>
    <w:rsid w:val="00B7103A"/>
    <w:rsid w:val="00BC20B2"/>
    <w:rsid w:val="00BC295D"/>
    <w:rsid w:val="00C25AD7"/>
    <w:rsid w:val="00CD6E82"/>
    <w:rsid w:val="00D6697E"/>
    <w:rsid w:val="00D73822"/>
    <w:rsid w:val="00D842AF"/>
    <w:rsid w:val="00F0682B"/>
    <w:rsid w:val="00F4032D"/>
    <w:rsid w:val="00FE14DD"/>
    <w:rsid w:val="023FF005"/>
    <w:rsid w:val="0310733A"/>
    <w:rsid w:val="07C6FC21"/>
    <w:rsid w:val="07FB249B"/>
    <w:rsid w:val="0B7F6EEA"/>
    <w:rsid w:val="0BC77976"/>
    <w:rsid w:val="0BCE0418"/>
    <w:rsid w:val="0BDE67D1"/>
    <w:rsid w:val="0CBC9FDD"/>
    <w:rsid w:val="0E572DE7"/>
    <w:rsid w:val="0E6FB990"/>
    <w:rsid w:val="0FBFF621"/>
    <w:rsid w:val="0FDA496C"/>
    <w:rsid w:val="0FDF8812"/>
    <w:rsid w:val="0FEF424C"/>
    <w:rsid w:val="0FFF651A"/>
    <w:rsid w:val="0FFFD8E3"/>
    <w:rsid w:val="12CFF112"/>
    <w:rsid w:val="12E853F8"/>
    <w:rsid w:val="13616E82"/>
    <w:rsid w:val="14B45E89"/>
    <w:rsid w:val="16F2A9EB"/>
    <w:rsid w:val="177A9A60"/>
    <w:rsid w:val="17BE0832"/>
    <w:rsid w:val="17DF1B9C"/>
    <w:rsid w:val="17E43BE8"/>
    <w:rsid w:val="17F70D7C"/>
    <w:rsid w:val="17FFDE5C"/>
    <w:rsid w:val="1AFDA69D"/>
    <w:rsid w:val="1AFF9A60"/>
    <w:rsid w:val="1B5B745E"/>
    <w:rsid w:val="1B7A0C3E"/>
    <w:rsid w:val="1BFD1358"/>
    <w:rsid w:val="1CA7E2F1"/>
    <w:rsid w:val="1D3F3B75"/>
    <w:rsid w:val="1DCFAB12"/>
    <w:rsid w:val="1DDBAE57"/>
    <w:rsid w:val="1DFBE3ED"/>
    <w:rsid w:val="1DFD374B"/>
    <w:rsid w:val="1DFF48C5"/>
    <w:rsid w:val="1E1E9FFA"/>
    <w:rsid w:val="1EAFA6B0"/>
    <w:rsid w:val="1EAFEC32"/>
    <w:rsid w:val="1EB74EE2"/>
    <w:rsid w:val="1EFBDBC6"/>
    <w:rsid w:val="1EFE41D9"/>
    <w:rsid w:val="1EFF1EAF"/>
    <w:rsid w:val="1F914EBE"/>
    <w:rsid w:val="1FBBDE88"/>
    <w:rsid w:val="1FBF1ECA"/>
    <w:rsid w:val="1FDD479A"/>
    <w:rsid w:val="1FEF0A63"/>
    <w:rsid w:val="1FFD00CC"/>
    <w:rsid w:val="1FFF38A8"/>
    <w:rsid w:val="1FFFCAED"/>
    <w:rsid w:val="1FFFDA5A"/>
    <w:rsid w:val="232DD6DB"/>
    <w:rsid w:val="23BD7DDE"/>
    <w:rsid w:val="23E7DA54"/>
    <w:rsid w:val="23F9C298"/>
    <w:rsid w:val="263A7D72"/>
    <w:rsid w:val="26B50439"/>
    <w:rsid w:val="27BF52B8"/>
    <w:rsid w:val="29371485"/>
    <w:rsid w:val="29FF2D3D"/>
    <w:rsid w:val="2A45EC22"/>
    <w:rsid w:val="2A7764D0"/>
    <w:rsid w:val="2AFB9599"/>
    <w:rsid w:val="2BDF01FC"/>
    <w:rsid w:val="2BF604D7"/>
    <w:rsid w:val="2BFB4737"/>
    <w:rsid w:val="2BFE4616"/>
    <w:rsid w:val="2CD72870"/>
    <w:rsid w:val="2CFE760B"/>
    <w:rsid w:val="2D3FFC12"/>
    <w:rsid w:val="2DB82C39"/>
    <w:rsid w:val="2DEFA2CF"/>
    <w:rsid w:val="2DFFF19B"/>
    <w:rsid w:val="2E7E1509"/>
    <w:rsid w:val="2E7F9198"/>
    <w:rsid w:val="2E7FC602"/>
    <w:rsid w:val="2EBD7497"/>
    <w:rsid w:val="2EBF5600"/>
    <w:rsid w:val="2ED891CD"/>
    <w:rsid w:val="2EF371B5"/>
    <w:rsid w:val="2EFD23D3"/>
    <w:rsid w:val="2EFD892A"/>
    <w:rsid w:val="2F1FBE07"/>
    <w:rsid w:val="2F26A6AA"/>
    <w:rsid w:val="2F4B82FE"/>
    <w:rsid w:val="2F4F56F1"/>
    <w:rsid w:val="2F76D02E"/>
    <w:rsid w:val="2F7C06FD"/>
    <w:rsid w:val="2F7C519C"/>
    <w:rsid w:val="2F99498D"/>
    <w:rsid w:val="2FAD6281"/>
    <w:rsid w:val="2FCF57A9"/>
    <w:rsid w:val="2FD7B5D5"/>
    <w:rsid w:val="2FDF512E"/>
    <w:rsid w:val="2FEA9ADE"/>
    <w:rsid w:val="2FEEF9CB"/>
    <w:rsid w:val="2FF3AA5B"/>
    <w:rsid w:val="2FFB121F"/>
    <w:rsid w:val="2FFF154F"/>
    <w:rsid w:val="2FFFC350"/>
    <w:rsid w:val="307C3DFE"/>
    <w:rsid w:val="319B4A04"/>
    <w:rsid w:val="32AFCA62"/>
    <w:rsid w:val="330E2A2A"/>
    <w:rsid w:val="335D1B73"/>
    <w:rsid w:val="3367C036"/>
    <w:rsid w:val="33AB989D"/>
    <w:rsid w:val="33B6B2E5"/>
    <w:rsid w:val="33BE7CCA"/>
    <w:rsid w:val="33DA25CA"/>
    <w:rsid w:val="34762D32"/>
    <w:rsid w:val="3517A1C6"/>
    <w:rsid w:val="3523B8B8"/>
    <w:rsid w:val="35CB4C1D"/>
    <w:rsid w:val="35EEC2B7"/>
    <w:rsid w:val="35FFF883"/>
    <w:rsid w:val="366F76EF"/>
    <w:rsid w:val="367F8791"/>
    <w:rsid w:val="367FE0F6"/>
    <w:rsid w:val="36B7D8D6"/>
    <w:rsid w:val="36ED58A3"/>
    <w:rsid w:val="36F8BB9E"/>
    <w:rsid w:val="36FF18F8"/>
    <w:rsid w:val="36FF9DE1"/>
    <w:rsid w:val="372F1FD8"/>
    <w:rsid w:val="373E3908"/>
    <w:rsid w:val="377BDCD2"/>
    <w:rsid w:val="377FE5C0"/>
    <w:rsid w:val="3796014B"/>
    <w:rsid w:val="37B9DD1C"/>
    <w:rsid w:val="37BE3276"/>
    <w:rsid w:val="37DF4C08"/>
    <w:rsid w:val="37DFC58F"/>
    <w:rsid w:val="37EBF7A0"/>
    <w:rsid w:val="37FB88EE"/>
    <w:rsid w:val="37FED41C"/>
    <w:rsid w:val="37FFA939"/>
    <w:rsid w:val="38E80A10"/>
    <w:rsid w:val="393757B7"/>
    <w:rsid w:val="3976098F"/>
    <w:rsid w:val="397E06D4"/>
    <w:rsid w:val="397E3F80"/>
    <w:rsid w:val="39B70A88"/>
    <w:rsid w:val="39DDA5B3"/>
    <w:rsid w:val="39FFC50C"/>
    <w:rsid w:val="3A0F77B1"/>
    <w:rsid w:val="3A9FC75C"/>
    <w:rsid w:val="3AB1C501"/>
    <w:rsid w:val="3AC51CF9"/>
    <w:rsid w:val="3AF79243"/>
    <w:rsid w:val="3AFF20F2"/>
    <w:rsid w:val="3B37780F"/>
    <w:rsid w:val="3B590E79"/>
    <w:rsid w:val="3B5E139B"/>
    <w:rsid w:val="3B5F5BBF"/>
    <w:rsid w:val="3B5FF82C"/>
    <w:rsid w:val="3B7DAD8F"/>
    <w:rsid w:val="3BBFBABA"/>
    <w:rsid w:val="3BBFFE1C"/>
    <w:rsid w:val="3BD60C03"/>
    <w:rsid w:val="3BDF21BD"/>
    <w:rsid w:val="3BDFFCEC"/>
    <w:rsid w:val="3BE37B18"/>
    <w:rsid w:val="3BEB502D"/>
    <w:rsid w:val="3BEF912B"/>
    <w:rsid w:val="3BFC2F44"/>
    <w:rsid w:val="3BFE7638"/>
    <w:rsid w:val="3C6C937A"/>
    <w:rsid w:val="3C7C1237"/>
    <w:rsid w:val="3CEE7013"/>
    <w:rsid w:val="3CEFEFC2"/>
    <w:rsid w:val="3D2F8650"/>
    <w:rsid w:val="3D3BB20F"/>
    <w:rsid w:val="3D3E1993"/>
    <w:rsid w:val="3D456553"/>
    <w:rsid w:val="3D4FEC28"/>
    <w:rsid w:val="3D5E0F99"/>
    <w:rsid w:val="3D676B8D"/>
    <w:rsid w:val="3D77268C"/>
    <w:rsid w:val="3D77B8CD"/>
    <w:rsid w:val="3D796002"/>
    <w:rsid w:val="3D7E389B"/>
    <w:rsid w:val="3D7F4EBE"/>
    <w:rsid w:val="3DBAC612"/>
    <w:rsid w:val="3DF32DE5"/>
    <w:rsid w:val="3DF5DD86"/>
    <w:rsid w:val="3DFA6D00"/>
    <w:rsid w:val="3DFE11D0"/>
    <w:rsid w:val="3DFFAE3C"/>
    <w:rsid w:val="3E2FA7A1"/>
    <w:rsid w:val="3E3D9B39"/>
    <w:rsid w:val="3E77AAEF"/>
    <w:rsid w:val="3E9DB352"/>
    <w:rsid w:val="3EBF789E"/>
    <w:rsid w:val="3EC090E2"/>
    <w:rsid w:val="3ECE63EA"/>
    <w:rsid w:val="3EEFE6A7"/>
    <w:rsid w:val="3EF83B98"/>
    <w:rsid w:val="3EFE216F"/>
    <w:rsid w:val="3EFFAD8E"/>
    <w:rsid w:val="3F174523"/>
    <w:rsid w:val="3F1C0EAB"/>
    <w:rsid w:val="3F264CD4"/>
    <w:rsid w:val="3F3FE925"/>
    <w:rsid w:val="3F539ED0"/>
    <w:rsid w:val="3F59FF6F"/>
    <w:rsid w:val="3F5C3A18"/>
    <w:rsid w:val="3F5FBC59"/>
    <w:rsid w:val="3F6B6487"/>
    <w:rsid w:val="3F73223B"/>
    <w:rsid w:val="3F77E464"/>
    <w:rsid w:val="3F7EB9FF"/>
    <w:rsid w:val="3F7F1AE6"/>
    <w:rsid w:val="3F87C900"/>
    <w:rsid w:val="3F8B965C"/>
    <w:rsid w:val="3F9EBC69"/>
    <w:rsid w:val="3F9F92F2"/>
    <w:rsid w:val="3FAFC0AA"/>
    <w:rsid w:val="3FB63E4A"/>
    <w:rsid w:val="3FBAA1C4"/>
    <w:rsid w:val="3FBAD2AD"/>
    <w:rsid w:val="3FBD8F46"/>
    <w:rsid w:val="3FCF5691"/>
    <w:rsid w:val="3FCFDBB8"/>
    <w:rsid w:val="3FDAF75C"/>
    <w:rsid w:val="3FDBF0E0"/>
    <w:rsid w:val="3FDF1780"/>
    <w:rsid w:val="3FDF6BBA"/>
    <w:rsid w:val="3FE4EA5D"/>
    <w:rsid w:val="3FEB4D8C"/>
    <w:rsid w:val="3FEB6313"/>
    <w:rsid w:val="3FEC7079"/>
    <w:rsid w:val="3FECB485"/>
    <w:rsid w:val="3FED5D89"/>
    <w:rsid w:val="3FEF024E"/>
    <w:rsid w:val="3FEF3311"/>
    <w:rsid w:val="3FEFA3D9"/>
    <w:rsid w:val="3FEFBE8A"/>
    <w:rsid w:val="3FF6BE75"/>
    <w:rsid w:val="3FF999CE"/>
    <w:rsid w:val="3FFAD827"/>
    <w:rsid w:val="3FFB01F1"/>
    <w:rsid w:val="3FFC536E"/>
    <w:rsid w:val="3FFE784F"/>
    <w:rsid w:val="3FFEA6E8"/>
    <w:rsid w:val="3FFF326E"/>
    <w:rsid w:val="3FFF5B26"/>
    <w:rsid w:val="3FFF5B5C"/>
    <w:rsid w:val="3FFF5E7B"/>
    <w:rsid w:val="3FFF8F6E"/>
    <w:rsid w:val="3FFFA73C"/>
    <w:rsid w:val="3FFFD4CE"/>
    <w:rsid w:val="41939770"/>
    <w:rsid w:val="42A02B44"/>
    <w:rsid w:val="439F0D39"/>
    <w:rsid w:val="43B50E2E"/>
    <w:rsid w:val="43FBCAEB"/>
    <w:rsid w:val="45F74B9A"/>
    <w:rsid w:val="463711AA"/>
    <w:rsid w:val="472BCF3A"/>
    <w:rsid w:val="473F1BB8"/>
    <w:rsid w:val="47D736E3"/>
    <w:rsid w:val="47F1607D"/>
    <w:rsid w:val="47F2D6A2"/>
    <w:rsid w:val="47F7AAB8"/>
    <w:rsid w:val="47FE9EE9"/>
    <w:rsid w:val="47FFBFFB"/>
    <w:rsid w:val="497B193B"/>
    <w:rsid w:val="4A776F67"/>
    <w:rsid w:val="4AEFA69F"/>
    <w:rsid w:val="4BBF651B"/>
    <w:rsid w:val="4BEFDA95"/>
    <w:rsid w:val="4BFCBDA6"/>
    <w:rsid w:val="4C77777D"/>
    <w:rsid w:val="4CDF218B"/>
    <w:rsid w:val="4D756DA2"/>
    <w:rsid w:val="4D779C00"/>
    <w:rsid w:val="4D7B0F41"/>
    <w:rsid w:val="4DDDC8EC"/>
    <w:rsid w:val="4DDF5AC1"/>
    <w:rsid w:val="4DDF89F6"/>
    <w:rsid w:val="4DFF4E0B"/>
    <w:rsid w:val="4EBAE945"/>
    <w:rsid w:val="4ECA6525"/>
    <w:rsid w:val="4ED749E8"/>
    <w:rsid w:val="4ED91D6A"/>
    <w:rsid w:val="4EEE3666"/>
    <w:rsid w:val="4EEF7E02"/>
    <w:rsid w:val="4EFE8E03"/>
    <w:rsid w:val="4EFEA467"/>
    <w:rsid w:val="4F2F0E24"/>
    <w:rsid w:val="4F555829"/>
    <w:rsid w:val="4F578F8D"/>
    <w:rsid w:val="4F5A44B4"/>
    <w:rsid w:val="4F5BB77C"/>
    <w:rsid w:val="4F5DC2EA"/>
    <w:rsid w:val="4FBF5BCC"/>
    <w:rsid w:val="4FDA3002"/>
    <w:rsid w:val="4FDFB01E"/>
    <w:rsid w:val="4FEDD6CB"/>
    <w:rsid w:val="4FF31BDF"/>
    <w:rsid w:val="4FF7E642"/>
    <w:rsid w:val="4FFA0DA4"/>
    <w:rsid w:val="4FFF1070"/>
    <w:rsid w:val="4FFF2D01"/>
    <w:rsid w:val="4FFFCC55"/>
    <w:rsid w:val="505FEAC7"/>
    <w:rsid w:val="50FFBAE4"/>
    <w:rsid w:val="5178CA6A"/>
    <w:rsid w:val="51A72BE1"/>
    <w:rsid w:val="51FD3B5E"/>
    <w:rsid w:val="52FFE150"/>
    <w:rsid w:val="530DCC1A"/>
    <w:rsid w:val="53C74FAC"/>
    <w:rsid w:val="53E716D8"/>
    <w:rsid w:val="53EFF494"/>
    <w:rsid w:val="53FBEBEF"/>
    <w:rsid w:val="54FD5681"/>
    <w:rsid w:val="552BC075"/>
    <w:rsid w:val="55B3BF4E"/>
    <w:rsid w:val="55FAACFC"/>
    <w:rsid w:val="567DAEE6"/>
    <w:rsid w:val="56FFB521"/>
    <w:rsid w:val="573FFC09"/>
    <w:rsid w:val="576F9E31"/>
    <w:rsid w:val="5774BE41"/>
    <w:rsid w:val="577F4992"/>
    <w:rsid w:val="57B37D49"/>
    <w:rsid w:val="57BB6DF1"/>
    <w:rsid w:val="57C5E3FF"/>
    <w:rsid w:val="57D61A29"/>
    <w:rsid w:val="57EC7908"/>
    <w:rsid w:val="57EF15DE"/>
    <w:rsid w:val="57EFAF7C"/>
    <w:rsid w:val="57F58509"/>
    <w:rsid w:val="57FA2474"/>
    <w:rsid w:val="57FD3FDB"/>
    <w:rsid w:val="582B9869"/>
    <w:rsid w:val="58EF02B0"/>
    <w:rsid w:val="59715455"/>
    <w:rsid w:val="598FEF94"/>
    <w:rsid w:val="59A959EC"/>
    <w:rsid w:val="59AAFE6E"/>
    <w:rsid w:val="59AF8EC0"/>
    <w:rsid w:val="59BE5991"/>
    <w:rsid w:val="59C61702"/>
    <w:rsid w:val="5A0FF327"/>
    <w:rsid w:val="5A3EBC1C"/>
    <w:rsid w:val="5A9CFDD8"/>
    <w:rsid w:val="5AD394A2"/>
    <w:rsid w:val="5AE61B81"/>
    <w:rsid w:val="5AFFC1AE"/>
    <w:rsid w:val="5B7F3969"/>
    <w:rsid w:val="5B7FABF9"/>
    <w:rsid w:val="5BA61A60"/>
    <w:rsid w:val="5BABA171"/>
    <w:rsid w:val="5BBFD4F5"/>
    <w:rsid w:val="5BD2EB22"/>
    <w:rsid w:val="5BEBBA4C"/>
    <w:rsid w:val="5BF1C039"/>
    <w:rsid w:val="5BF38318"/>
    <w:rsid w:val="5BF6EB4F"/>
    <w:rsid w:val="5BF755E7"/>
    <w:rsid w:val="5BF773A6"/>
    <w:rsid w:val="5BF78660"/>
    <w:rsid w:val="5BF7D900"/>
    <w:rsid w:val="5BFD1BA7"/>
    <w:rsid w:val="5BFDC650"/>
    <w:rsid w:val="5BFEECF6"/>
    <w:rsid w:val="5BFF0FAD"/>
    <w:rsid w:val="5BFF2EC1"/>
    <w:rsid w:val="5BFFA9C2"/>
    <w:rsid w:val="5BFFDEF4"/>
    <w:rsid w:val="5C7E1EA7"/>
    <w:rsid w:val="5CCF0F6E"/>
    <w:rsid w:val="5CD6BCC8"/>
    <w:rsid w:val="5D5FDA1C"/>
    <w:rsid w:val="5D7F07B5"/>
    <w:rsid w:val="5DBBAAC4"/>
    <w:rsid w:val="5DDD0236"/>
    <w:rsid w:val="5DDDED8E"/>
    <w:rsid w:val="5DFCF3E2"/>
    <w:rsid w:val="5DFDCA35"/>
    <w:rsid w:val="5DFF7EC6"/>
    <w:rsid w:val="5E163B41"/>
    <w:rsid w:val="5E3D9C07"/>
    <w:rsid w:val="5E5FB8E0"/>
    <w:rsid w:val="5E737FFB"/>
    <w:rsid w:val="5E774383"/>
    <w:rsid w:val="5E796949"/>
    <w:rsid w:val="5EA84E61"/>
    <w:rsid w:val="5EAC2DDC"/>
    <w:rsid w:val="5EB3B311"/>
    <w:rsid w:val="5EC6A173"/>
    <w:rsid w:val="5EDD73A1"/>
    <w:rsid w:val="5EE96D9D"/>
    <w:rsid w:val="5EEF315C"/>
    <w:rsid w:val="5EEFC280"/>
    <w:rsid w:val="5EFD4B50"/>
    <w:rsid w:val="5EFE7F46"/>
    <w:rsid w:val="5EFEA50B"/>
    <w:rsid w:val="5EFF8CEA"/>
    <w:rsid w:val="5EFFDCF5"/>
    <w:rsid w:val="5F359CB9"/>
    <w:rsid w:val="5F37D779"/>
    <w:rsid w:val="5F3FB67D"/>
    <w:rsid w:val="5F564C9A"/>
    <w:rsid w:val="5F5B3BF4"/>
    <w:rsid w:val="5F5E6D11"/>
    <w:rsid w:val="5F6FA49D"/>
    <w:rsid w:val="5F6FE5D2"/>
    <w:rsid w:val="5F764154"/>
    <w:rsid w:val="5F772966"/>
    <w:rsid w:val="5F7C22EB"/>
    <w:rsid w:val="5F7DAD23"/>
    <w:rsid w:val="5F7F829B"/>
    <w:rsid w:val="5F91D98D"/>
    <w:rsid w:val="5FAD0F5D"/>
    <w:rsid w:val="5FB67B75"/>
    <w:rsid w:val="5FB74439"/>
    <w:rsid w:val="5FBD61E9"/>
    <w:rsid w:val="5FBE4CDB"/>
    <w:rsid w:val="5FBF8CB3"/>
    <w:rsid w:val="5FBFBF66"/>
    <w:rsid w:val="5FCB5DDD"/>
    <w:rsid w:val="5FDDA536"/>
    <w:rsid w:val="5FDE02EF"/>
    <w:rsid w:val="5FDF74B1"/>
    <w:rsid w:val="5FDFC82B"/>
    <w:rsid w:val="5FDFF5C9"/>
    <w:rsid w:val="5FE959B3"/>
    <w:rsid w:val="5FF71051"/>
    <w:rsid w:val="5FFE4442"/>
    <w:rsid w:val="5FFF0EE3"/>
    <w:rsid w:val="5FFF2CB1"/>
    <w:rsid w:val="5FFFED00"/>
    <w:rsid w:val="5FFFF0DD"/>
    <w:rsid w:val="603AE8A0"/>
    <w:rsid w:val="61D730FB"/>
    <w:rsid w:val="61DB7E0E"/>
    <w:rsid w:val="62771680"/>
    <w:rsid w:val="62DEAE29"/>
    <w:rsid w:val="6332225F"/>
    <w:rsid w:val="636D30A6"/>
    <w:rsid w:val="639FD6A7"/>
    <w:rsid w:val="63BCF9B1"/>
    <w:rsid w:val="63FA6F48"/>
    <w:rsid w:val="63FFE457"/>
    <w:rsid w:val="640D84D6"/>
    <w:rsid w:val="647CA195"/>
    <w:rsid w:val="656F2790"/>
    <w:rsid w:val="65979C5C"/>
    <w:rsid w:val="65D30F1B"/>
    <w:rsid w:val="65DF7F97"/>
    <w:rsid w:val="65FFD613"/>
    <w:rsid w:val="66037DE0"/>
    <w:rsid w:val="663FA731"/>
    <w:rsid w:val="66DB054F"/>
    <w:rsid w:val="66FE6327"/>
    <w:rsid w:val="66FF275E"/>
    <w:rsid w:val="66FF5FBD"/>
    <w:rsid w:val="673F888B"/>
    <w:rsid w:val="677B6EBB"/>
    <w:rsid w:val="679B6BE0"/>
    <w:rsid w:val="67EE3EE1"/>
    <w:rsid w:val="67F7005D"/>
    <w:rsid w:val="67F78342"/>
    <w:rsid w:val="67F7C699"/>
    <w:rsid w:val="67F7E7E8"/>
    <w:rsid w:val="67F9FAE8"/>
    <w:rsid w:val="67FD8131"/>
    <w:rsid w:val="67FF7DC7"/>
    <w:rsid w:val="67FFD9ED"/>
    <w:rsid w:val="684E7FF7"/>
    <w:rsid w:val="68F25FCC"/>
    <w:rsid w:val="68FED662"/>
    <w:rsid w:val="69478612"/>
    <w:rsid w:val="69672674"/>
    <w:rsid w:val="697F15E6"/>
    <w:rsid w:val="697FF1A1"/>
    <w:rsid w:val="69BC1890"/>
    <w:rsid w:val="69DFA4E6"/>
    <w:rsid w:val="69FACB8D"/>
    <w:rsid w:val="6A74597D"/>
    <w:rsid w:val="6A7CAE0F"/>
    <w:rsid w:val="6ABDFF76"/>
    <w:rsid w:val="6AFF3D7A"/>
    <w:rsid w:val="6B4D1387"/>
    <w:rsid w:val="6B573B2F"/>
    <w:rsid w:val="6B5FF8F0"/>
    <w:rsid w:val="6B6EA8F0"/>
    <w:rsid w:val="6B75EDBE"/>
    <w:rsid w:val="6B770DDE"/>
    <w:rsid w:val="6B7A0D3B"/>
    <w:rsid w:val="6B7C87E6"/>
    <w:rsid w:val="6B8B1C5A"/>
    <w:rsid w:val="6B9DD751"/>
    <w:rsid w:val="6BBFF246"/>
    <w:rsid w:val="6BCB70B5"/>
    <w:rsid w:val="6BDFF266"/>
    <w:rsid w:val="6BE37DDA"/>
    <w:rsid w:val="6BEB117F"/>
    <w:rsid w:val="6BEFEBCB"/>
    <w:rsid w:val="6BFD039F"/>
    <w:rsid w:val="6C5FB523"/>
    <w:rsid w:val="6C7B15DC"/>
    <w:rsid w:val="6CBBB2A6"/>
    <w:rsid w:val="6CEFB686"/>
    <w:rsid w:val="6CF62592"/>
    <w:rsid w:val="6D3B90C8"/>
    <w:rsid w:val="6D6682A8"/>
    <w:rsid w:val="6D74A4F2"/>
    <w:rsid w:val="6D9631F0"/>
    <w:rsid w:val="6DC23E1A"/>
    <w:rsid w:val="6DCD26FB"/>
    <w:rsid w:val="6DCFD12D"/>
    <w:rsid w:val="6DCFDC84"/>
    <w:rsid w:val="6DEEC70D"/>
    <w:rsid w:val="6DF79B20"/>
    <w:rsid w:val="6DFC12F7"/>
    <w:rsid w:val="6DFC9A19"/>
    <w:rsid w:val="6E0EA67B"/>
    <w:rsid w:val="6E345CD0"/>
    <w:rsid w:val="6E41D210"/>
    <w:rsid w:val="6E67E140"/>
    <w:rsid w:val="6E6B05FC"/>
    <w:rsid w:val="6E6B1E0D"/>
    <w:rsid w:val="6E76F10C"/>
    <w:rsid w:val="6E7F676F"/>
    <w:rsid w:val="6EDDBBC3"/>
    <w:rsid w:val="6EE7BD8D"/>
    <w:rsid w:val="6EFDC297"/>
    <w:rsid w:val="6EFF5829"/>
    <w:rsid w:val="6F1C70D4"/>
    <w:rsid w:val="6F3F59CF"/>
    <w:rsid w:val="6F4D8C87"/>
    <w:rsid w:val="6F5D8628"/>
    <w:rsid w:val="6F5E4740"/>
    <w:rsid w:val="6F6DDB8D"/>
    <w:rsid w:val="6F6F7A8D"/>
    <w:rsid w:val="6F6FDB1B"/>
    <w:rsid w:val="6F7516E7"/>
    <w:rsid w:val="6F77B6FA"/>
    <w:rsid w:val="6F7B2CC8"/>
    <w:rsid w:val="6F7E47FF"/>
    <w:rsid w:val="6F7FCF20"/>
    <w:rsid w:val="6F9459DD"/>
    <w:rsid w:val="6FA066A3"/>
    <w:rsid w:val="6FABD7A1"/>
    <w:rsid w:val="6FAD1474"/>
    <w:rsid w:val="6FB36CE3"/>
    <w:rsid w:val="6FB4312E"/>
    <w:rsid w:val="6FB7EADE"/>
    <w:rsid w:val="6FBAC778"/>
    <w:rsid w:val="6FBDB87C"/>
    <w:rsid w:val="6FBF0111"/>
    <w:rsid w:val="6FCBF8EB"/>
    <w:rsid w:val="6FCE730E"/>
    <w:rsid w:val="6FD7EBDC"/>
    <w:rsid w:val="6FDB7E2B"/>
    <w:rsid w:val="6FDD2715"/>
    <w:rsid w:val="6FE5C34E"/>
    <w:rsid w:val="6FEBBC0C"/>
    <w:rsid w:val="6FEC227A"/>
    <w:rsid w:val="6FECDC37"/>
    <w:rsid w:val="6FED6BBF"/>
    <w:rsid w:val="6FEE86E8"/>
    <w:rsid w:val="6FEF34E4"/>
    <w:rsid w:val="6FF1F7A0"/>
    <w:rsid w:val="6FF52B67"/>
    <w:rsid w:val="6FF78176"/>
    <w:rsid w:val="6FFD4720"/>
    <w:rsid w:val="6FFE9996"/>
    <w:rsid w:val="6FFFC5DA"/>
    <w:rsid w:val="6FFFD473"/>
    <w:rsid w:val="707DF3BD"/>
    <w:rsid w:val="715CBB7F"/>
    <w:rsid w:val="717D5258"/>
    <w:rsid w:val="71FEA126"/>
    <w:rsid w:val="727F0237"/>
    <w:rsid w:val="72AFC532"/>
    <w:rsid w:val="72CF7FE3"/>
    <w:rsid w:val="733D82D1"/>
    <w:rsid w:val="737E984D"/>
    <w:rsid w:val="737F62C4"/>
    <w:rsid w:val="738F65B4"/>
    <w:rsid w:val="73978001"/>
    <w:rsid w:val="739D4C7A"/>
    <w:rsid w:val="73B7CA54"/>
    <w:rsid w:val="73BA4AA5"/>
    <w:rsid w:val="73BD32EF"/>
    <w:rsid w:val="73BD534D"/>
    <w:rsid w:val="73BE24F8"/>
    <w:rsid w:val="73D7F8F3"/>
    <w:rsid w:val="73F7547D"/>
    <w:rsid w:val="73F7FA0F"/>
    <w:rsid w:val="73FD9438"/>
    <w:rsid w:val="74590532"/>
    <w:rsid w:val="74B67FD5"/>
    <w:rsid w:val="74BB97D4"/>
    <w:rsid w:val="74F3EDB3"/>
    <w:rsid w:val="74FB7D09"/>
    <w:rsid w:val="74FEF5D2"/>
    <w:rsid w:val="74FFB25B"/>
    <w:rsid w:val="755F1067"/>
    <w:rsid w:val="756F1218"/>
    <w:rsid w:val="759F52F0"/>
    <w:rsid w:val="75B3E435"/>
    <w:rsid w:val="75BF8A3F"/>
    <w:rsid w:val="75D70E51"/>
    <w:rsid w:val="75DD48AF"/>
    <w:rsid w:val="75DFABA4"/>
    <w:rsid w:val="75EEAAB8"/>
    <w:rsid w:val="75F4297F"/>
    <w:rsid w:val="75F7AE7A"/>
    <w:rsid w:val="75FD54E3"/>
    <w:rsid w:val="75FF1AF7"/>
    <w:rsid w:val="763BEBF1"/>
    <w:rsid w:val="764DA3FE"/>
    <w:rsid w:val="7663365B"/>
    <w:rsid w:val="766E494E"/>
    <w:rsid w:val="767E1046"/>
    <w:rsid w:val="768FD904"/>
    <w:rsid w:val="76C5B7EA"/>
    <w:rsid w:val="76CF28E5"/>
    <w:rsid w:val="76D76658"/>
    <w:rsid w:val="76D92845"/>
    <w:rsid w:val="76DFA98D"/>
    <w:rsid w:val="76E3EAB2"/>
    <w:rsid w:val="76F733FA"/>
    <w:rsid w:val="76FAF383"/>
    <w:rsid w:val="76FB411C"/>
    <w:rsid w:val="76FD270C"/>
    <w:rsid w:val="76FF7875"/>
    <w:rsid w:val="772BDB82"/>
    <w:rsid w:val="77517A1C"/>
    <w:rsid w:val="775D7159"/>
    <w:rsid w:val="776F6CF5"/>
    <w:rsid w:val="7771C9CA"/>
    <w:rsid w:val="77773B87"/>
    <w:rsid w:val="77776644"/>
    <w:rsid w:val="7777E301"/>
    <w:rsid w:val="777CAC66"/>
    <w:rsid w:val="777D829D"/>
    <w:rsid w:val="7793EF31"/>
    <w:rsid w:val="779E269E"/>
    <w:rsid w:val="77A5637A"/>
    <w:rsid w:val="77AE226E"/>
    <w:rsid w:val="77AF6E62"/>
    <w:rsid w:val="77BAC961"/>
    <w:rsid w:val="77BD9F9C"/>
    <w:rsid w:val="77BF5E7D"/>
    <w:rsid w:val="77BF998E"/>
    <w:rsid w:val="77D3198E"/>
    <w:rsid w:val="77DF2CB9"/>
    <w:rsid w:val="77DF9DC1"/>
    <w:rsid w:val="77E3492F"/>
    <w:rsid w:val="77E383D0"/>
    <w:rsid w:val="77EAB26F"/>
    <w:rsid w:val="77EAC293"/>
    <w:rsid w:val="77EAFD30"/>
    <w:rsid w:val="77EC0799"/>
    <w:rsid w:val="77EFB5B5"/>
    <w:rsid w:val="77EFBA2D"/>
    <w:rsid w:val="77EFF195"/>
    <w:rsid w:val="77F05C29"/>
    <w:rsid w:val="77F1BB56"/>
    <w:rsid w:val="77F73D01"/>
    <w:rsid w:val="77F7AE6A"/>
    <w:rsid w:val="77F7D865"/>
    <w:rsid w:val="77FA59E5"/>
    <w:rsid w:val="77FAE2DE"/>
    <w:rsid w:val="77FB231C"/>
    <w:rsid w:val="77FE069E"/>
    <w:rsid w:val="77FE82D6"/>
    <w:rsid w:val="77FF0826"/>
    <w:rsid w:val="77FF6A05"/>
    <w:rsid w:val="77FF85D7"/>
    <w:rsid w:val="77FF95BC"/>
    <w:rsid w:val="77FFADDB"/>
    <w:rsid w:val="77FFC7FF"/>
    <w:rsid w:val="77FFDA60"/>
    <w:rsid w:val="78CF38C6"/>
    <w:rsid w:val="78DAA829"/>
    <w:rsid w:val="78DF7A98"/>
    <w:rsid w:val="78EFEF26"/>
    <w:rsid w:val="78F76F24"/>
    <w:rsid w:val="78FDA40F"/>
    <w:rsid w:val="79265362"/>
    <w:rsid w:val="793B8E77"/>
    <w:rsid w:val="79651EBF"/>
    <w:rsid w:val="797BBA8C"/>
    <w:rsid w:val="797BC440"/>
    <w:rsid w:val="797FA9F3"/>
    <w:rsid w:val="79879D69"/>
    <w:rsid w:val="79C65073"/>
    <w:rsid w:val="79D76E7D"/>
    <w:rsid w:val="79DF0395"/>
    <w:rsid w:val="79DFEE76"/>
    <w:rsid w:val="79F16234"/>
    <w:rsid w:val="79F61EC6"/>
    <w:rsid w:val="79F7151A"/>
    <w:rsid w:val="79FB84B3"/>
    <w:rsid w:val="79FBE1F4"/>
    <w:rsid w:val="79FF26D9"/>
    <w:rsid w:val="7A1F54B2"/>
    <w:rsid w:val="7A372EC8"/>
    <w:rsid w:val="7A3EC126"/>
    <w:rsid w:val="7A856931"/>
    <w:rsid w:val="7A9D0AB5"/>
    <w:rsid w:val="7ABF069D"/>
    <w:rsid w:val="7AD53913"/>
    <w:rsid w:val="7AECE9BC"/>
    <w:rsid w:val="7AF7AB2B"/>
    <w:rsid w:val="7AFBC1E4"/>
    <w:rsid w:val="7AFF36BE"/>
    <w:rsid w:val="7B0D0E82"/>
    <w:rsid w:val="7B573936"/>
    <w:rsid w:val="7B5B9CEF"/>
    <w:rsid w:val="7B5F0E3D"/>
    <w:rsid w:val="7B5F956F"/>
    <w:rsid w:val="7B6B14D9"/>
    <w:rsid w:val="7B6F9F13"/>
    <w:rsid w:val="7B73B011"/>
    <w:rsid w:val="7B79C66F"/>
    <w:rsid w:val="7B7E803E"/>
    <w:rsid w:val="7B924C23"/>
    <w:rsid w:val="7B958828"/>
    <w:rsid w:val="7B986E3D"/>
    <w:rsid w:val="7B9DD2E0"/>
    <w:rsid w:val="7B9E11CD"/>
    <w:rsid w:val="7BA77E1F"/>
    <w:rsid w:val="7BA7B4A3"/>
    <w:rsid w:val="7BAE1F84"/>
    <w:rsid w:val="7BB11584"/>
    <w:rsid w:val="7BB70FFA"/>
    <w:rsid w:val="7BBA5ACE"/>
    <w:rsid w:val="7BBA72AD"/>
    <w:rsid w:val="7BBB5EBA"/>
    <w:rsid w:val="7BBD132D"/>
    <w:rsid w:val="7BBE41A0"/>
    <w:rsid w:val="7BBEFFC3"/>
    <w:rsid w:val="7BBF1869"/>
    <w:rsid w:val="7BBFA5A7"/>
    <w:rsid w:val="7BCE20E3"/>
    <w:rsid w:val="7BD9B45E"/>
    <w:rsid w:val="7BDB1CD6"/>
    <w:rsid w:val="7BDE1A89"/>
    <w:rsid w:val="7BDE9741"/>
    <w:rsid w:val="7BDF7E17"/>
    <w:rsid w:val="7BDFCF35"/>
    <w:rsid w:val="7BDFDB11"/>
    <w:rsid w:val="7BE21D92"/>
    <w:rsid w:val="7BE46CCA"/>
    <w:rsid w:val="7BE5449E"/>
    <w:rsid w:val="7BEB09C6"/>
    <w:rsid w:val="7BEB9A74"/>
    <w:rsid w:val="7BEE5174"/>
    <w:rsid w:val="7BEF1D10"/>
    <w:rsid w:val="7BEF3369"/>
    <w:rsid w:val="7BEFA5FE"/>
    <w:rsid w:val="7BEFA913"/>
    <w:rsid w:val="7BF76B3C"/>
    <w:rsid w:val="7BFD99C4"/>
    <w:rsid w:val="7BFE0939"/>
    <w:rsid w:val="7BFF3547"/>
    <w:rsid w:val="7BFFCA69"/>
    <w:rsid w:val="7C5ED824"/>
    <w:rsid w:val="7CB7655F"/>
    <w:rsid w:val="7CBD32F3"/>
    <w:rsid w:val="7CCD08A9"/>
    <w:rsid w:val="7CDF2D1B"/>
    <w:rsid w:val="7CE5E558"/>
    <w:rsid w:val="7CEBECAB"/>
    <w:rsid w:val="7CEF5557"/>
    <w:rsid w:val="7CF6FAAA"/>
    <w:rsid w:val="7CFAE181"/>
    <w:rsid w:val="7CFB3CEA"/>
    <w:rsid w:val="7CFD437C"/>
    <w:rsid w:val="7CFE4409"/>
    <w:rsid w:val="7CFE5B38"/>
    <w:rsid w:val="7CFF5B44"/>
    <w:rsid w:val="7D36E097"/>
    <w:rsid w:val="7D63AAE1"/>
    <w:rsid w:val="7D6FEAB1"/>
    <w:rsid w:val="7D741FFB"/>
    <w:rsid w:val="7D7B2DCE"/>
    <w:rsid w:val="7D7B6238"/>
    <w:rsid w:val="7D7E67BD"/>
    <w:rsid w:val="7D7ED61E"/>
    <w:rsid w:val="7D7FB74E"/>
    <w:rsid w:val="7DAF0CF3"/>
    <w:rsid w:val="7DB575A1"/>
    <w:rsid w:val="7DBA58BE"/>
    <w:rsid w:val="7DBB5670"/>
    <w:rsid w:val="7DBD02ED"/>
    <w:rsid w:val="7DBDAC37"/>
    <w:rsid w:val="7DCD1712"/>
    <w:rsid w:val="7DCFEB55"/>
    <w:rsid w:val="7DD9F6B1"/>
    <w:rsid w:val="7DDB3433"/>
    <w:rsid w:val="7DE97AB4"/>
    <w:rsid w:val="7DEF586C"/>
    <w:rsid w:val="7DEF6A4C"/>
    <w:rsid w:val="7DEF79D2"/>
    <w:rsid w:val="7DEFA9AF"/>
    <w:rsid w:val="7DF3215B"/>
    <w:rsid w:val="7DF38E67"/>
    <w:rsid w:val="7DF54368"/>
    <w:rsid w:val="7DF59192"/>
    <w:rsid w:val="7DF79494"/>
    <w:rsid w:val="7DFA4B0B"/>
    <w:rsid w:val="7DFAC747"/>
    <w:rsid w:val="7DFB026B"/>
    <w:rsid w:val="7DFE2996"/>
    <w:rsid w:val="7DFE8F80"/>
    <w:rsid w:val="7DFF30FC"/>
    <w:rsid w:val="7DFF48CB"/>
    <w:rsid w:val="7DFF8529"/>
    <w:rsid w:val="7DFFA085"/>
    <w:rsid w:val="7DFFA08C"/>
    <w:rsid w:val="7E2EF37D"/>
    <w:rsid w:val="7E368460"/>
    <w:rsid w:val="7E474A0B"/>
    <w:rsid w:val="7E638BDD"/>
    <w:rsid w:val="7E65B863"/>
    <w:rsid w:val="7E672131"/>
    <w:rsid w:val="7E7931B1"/>
    <w:rsid w:val="7E7A4191"/>
    <w:rsid w:val="7E7E4C5A"/>
    <w:rsid w:val="7E7F6307"/>
    <w:rsid w:val="7E7F7D9F"/>
    <w:rsid w:val="7E7FAC62"/>
    <w:rsid w:val="7E9F3841"/>
    <w:rsid w:val="7EB63E05"/>
    <w:rsid w:val="7EB92736"/>
    <w:rsid w:val="7EBB7A21"/>
    <w:rsid w:val="7EBE3FFB"/>
    <w:rsid w:val="7EBF3235"/>
    <w:rsid w:val="7EBF7E27"/>
    <w:rsid w:val="7ECB745B"/>
    <w:rsid w:val="7ECF4A25"/>
    <w:rsid w:val="7ED6C1BD"/>
    <w:rsid w:val="7ED72F2F"/>
    <w:rsid w:val="7EDC9806"/>
    <w:rsid w:val="7EDE8A55"/>
    <w:rsid w:val="7EEEC1EF"/>
    <w:rsid w:val="7EEF3EC4"/>
    <w:rsid w:val="7EF11D3D"/>
    <w:rsid w:val="7EF280A4"/>
    <w:rsid w:val="7EF2FF2D"/>
    <w:rsid w:val="7EF6A915"/>
    <w:rsid w:val="7EF6F08C"/>
    <w:rsid w:val="7EF7E337"/>
    <w:rsid w:val="7EFBA9A6"/>
    <w:rsid w:val="7EFC21BA"/>
    <w:rsid w:val="7EFE6D1F"/>
    <w:rsid w:val="7EFFAFCE"/>
    <w:rsid w:val="7F2F8C4F"/>
    <w:rsid w:val="7F357F45"/>
    <w:rsid w:val="7F35AB0E"/>
    <w:rsid w:val="7F3BEC3A"/>
    <w:rsid w:val="7F3C1AB1"/>
    <w:rsid w:val="7F3ED248"/>
    <w:rsid w:val="7F3F726D"/>
    <w:rsid w:val="7F3FDD49"/>
    <w:rsid w:val="7F56C24F"/>
    <w:rsid w:val="7F595839"/>
    <w:rsid w:val="7F5B1317"/>
    <w:rsid w:val="7F5D2087"/>
    <w:rsid w:val="7F5FA8EB"/>
    <w:rsid w:val="7F690744"/>
    <w:rsid w:val="7F6DE45E"/>
    <w:rsid w:val="7F6EA9C1"/>
    <w:rsid w:val="7F70E8D9"/>
    <w:rsid w:val="7F773931"/>
    <w:rsid w:val="7F7B79DF"/>
    <w:rsid w:val="7F7BEBD5"/>
    <w:rsid w:val="7F7D3A08"/>
    <w:rsid w:val="7F7FC7BE"/>
    <w:rsid w:val="7F7FCF98"/>
    <w:rsid w:val="7F95E9AB"/>
    <w:rsid w:val="7F9B243D"/>
    <w:rsid w:val="7F9F157F"/>
    <w:rsid w:val="7F9FA50C"/>
    <w:rsid w:val="7FA5E4E6"/>
    <w:rsid w:val="7FA6613B"/>
    <w:rsid w:val="7FA6BC00"/>
    <w:rsid w:val="7FABA1FB"/>
    <w:rsid w:val="7FABB73F"/>
    <w:rsid w:val="7FABE447"/>
    <w:rsid w:val="7FAD33B7"/>
    <w:rsid w:val="7FAE9513"/>
    <w:rsid w:val="7FAED6EB"/>
    <w:rsid w:val="7FAEED52"/>
    <w:rsid w:val="7FAFAB98"/>
    <w:rsid w:val="7FB2B1D9"/>
    <w:rsid w:val="7FB70561"/>
    <w:rsid w:val="7FB7B934"/>
    <w:rsid w:val="7FB7E942"/>
    <w:rsid w:val="7FB99BB0"/>
    <w:rsid w:val="7FBA3196"/>
    <w:rsid w:val="7FBA7C62"/>
    <w:rsid w:val="7FBB22A1"/>
    <w:rsid w:val="7FBB8AEE"/>
    <w:rsid w:val="7FBD6B77"/>
    <w:rsid w:val="7FBE78FE"/>
    <w:rsid w:val="7FBEA958"/>
    <w:rsid w:val="7FBEAD50"/>
    <w:rsid w:val="7FBF3C3B"/>
    <w:rsid w:val="7FBFCCCB"/>
    <w:rsid w:val="7FBFDEE2"/>
    <w:rsid w:val="7FBFFF05"/>
    <w:rsid w:val="7FC141E5"/>
    <w:rsid w:val="7FCB1DCD"/>
    <w:rsid w:val="7FCFA677"/>
    <w:rsid w:val="7FD4838A"/>
    <w:rsid w:val="7FD69CF0"/>
    <w:rsid w:val="7FD732E4"/>
    <w:rsid w:val="7FD9D2B9"/>
    <w:rsid w:val="7FDA4309"/>
    <w:rsid w:val="7FDBB09C"/>
    <w:rsid w:val="7FDC86E2"/>
    <w:rsid w:val="7FDD274A"/>
    <w:rsid w:val="7FDD9011"/>
    <w:rsid w:val="7FDF277C"/>
    <w:rsid w:val="7FDF3CB0"/>
    <w:rsid w:val="7FDF5CD1"/>
    <w:rsid w:val="7FDF6B90"/>
    <w:rsid w:val="7FDFC695"/>
    <w:rsid w:val="7FE683C7"/>
    <w:rsid w:val="7FE74BEB"/>
    <w:rsid w:val="7FEB1079"/>
    <w:rsid w:val="7FEB1DA5"/>
    <w:rsid w:val="7FEBE6B8"/>
    <w:rsid w:val="7FEBEED6"/>
    <w:rsid w:val="7FEBFDE8"/>
    <w:rsid w:val="7FEC62DF"/>
    <w:rsid w:val="7FECE531"/>
    <w:rsid w:val="7FEE0261"/>
    <w:rsid w:val="7FEE1A2A"/>
    <w:rsid w:val="7FEE2FA5"/>
    <w:rsid w:val="7FEECA76"/>
    <w:rsid w:val="7FEECF63"/>
    <w:rsid w:val="7FEF78D6"/>
    <w:rsid w:val="7FF2E265"/>
    <w:rsid w:val="7FF59D55"/>
    <w:rsid w:val="7FF6875D"/>
    <w:rsid w:val="7FF6D358"/>
    <w:rsid w:val="7FF6F84C"/>
    <w:rsid w:val="7FF74437"/>
    <w:rsid w:val="7FF76828"/>
    <w:rsid w:val="7FF771F2"/>
    <w:rsid w:val="7FF782B8"/>
    <w:rsid w:val="7FF7A901"/>
    <w:rsid w:val="7FF7F836"/>
    <w:rsid w:val="7FF92BCE"/>
    <w:rsid w:val="7FF9B1EF"/>
    <w:rsid w:val="7FFA9487"/>
    <w:rsid w:val="7FFAE1CD"/>
    <w:rsid w:val="7FFB1A7F"/>
    <w:rsid w:val="7FFB3398"/>
    <w:rsid w:val="7FFB6454"/>
    <w:rsid w:val="7FFBF786"/>
    <w:rsid w:val="7FFC5012"/>
    <w:rsid w:val="7FFD62E9"/>
    <w:rsid w:val="7FFD8405"/>
    <w:rsid w:val="7FFD8BA8"/>
    <w:rsid w:val="7FFDE8FE"/>
    <w:rsid w:val="7FFE333C"/>
    <w:rsid w:val="7FFEA1BB"/>
    <w:rsid w:val="7FFEB166"/>
    <w:rsid w:val="7FFEB2B4"/>
    <w:rsid w:val="7FFEDDBA"/>
    <w:rsid w:val="7FFEE796"/>
    <w:rsid w:val="7FFF0582"/>
    <w:rsid w:val="7FFF228A"/>
    <w:rsid w:val="7FFF4287"/>
    <w:rsid w:val="7FFF4CFA"/>
    <w:rsid w:val="7FFF5710"/>
    <w:rsid w:val="7FFF6E68"/>
    <w:rsid w:val="7FFF7437"/>
    <w:rsid w:val="7FFF7DB7"/>
    <w:rsid w:val="7FFF86C9"/>
    <w:rsid w:val="7FFFA2AB"/>
    <w:rsid w:val="7FFFAB93"/>
    <w:rsid w:val="7FFFC316"/>
    <w:rsid w:val="7FFFC6F2"/>
    <w:rsid w:val="7FFFCADE"/>
    <w:rsid w:val="7FFFF03D"/>
    <w:rsid w:val="81DA1014"/>
    <w:rsid w:val="86FFD391"/>
    <w:rsid w:val="87DEF2B4"/>
    <w:rsid w:val="8B3DF28E"/>
    <w:rsid w:val="8CF2FEFE"/>
    <w:rsid w:val="8DEF3675"/>
    <w:rsid w:val="8DFBDEC5"/>
    <w:rsid w:val="8E97BEB5"/>
    <w:rsid w:val="8F6F2139"/>
    <w:rsid w:val="8F7F0726"/>
    <w:rsid w:val="8FBB8B4C"/>
    <w:rsid w:val="8FDF675C"/>
    <w:rsid w:val="8FE55C5C"/>
    <w:rsid w:val="8FF70F0D"/>
    <w:rsid w:val="8FFCA52A"/>
    <w:rsid w:val="93EF244C"/>
    <w:rsid w:val="94FB88FF"/>
    <w:rsid w:val="96B9DEAC"/>
    <w:rsid w:val="971FBF43"/>
    <w:rsid w:val="977B4F3C"/>
    <w:rsid w:val="979FB06B"/>
    <w:rsid w:val="97DF8B17"/>
    <w:rsid w:val="98553DF6"/>
    <w:rsid w:val="98D3C6BE"/>
    <w:rsid w:val="99FD0E88"/>
    <w:rsid w:val="9ABEE831"/>
    <w:rsid w:val="9AE538C0"/>
    <w:rsid w:val="9AFD5F2E"/>
    <w:rsid w:val="9B7D020E"/>
    <w:rsid w:val="9BD02428"/>
    <w:rsid w:val="9BDF8CB3"/>
    <w:rsid w:val="9BEE9D36"/>
    <w:rsid w:val="9BF7DA40"/>
    <w:rsid w:val="9BFF0878"/>
    <w:rsid w:val="9CFBB492"/>
    <w:rsid w:val="9D78C4BA"/>
    <w:rsid w:val="9D9EC5C1"/>
    <w:rsid w:val="9DDF1114"/>
    <w:rsid w:val="9DF79AB7"/>
    <w:rsid w:val="9E3BEA3A"/>
    <w:rsid w:val="9E77A861"/>
    <w:rsid w:val="9E7D4F1C"/>
    <w:rsid w:val="9EAF7BE0"/>
    <w:rsid w:val="9F4BE063"/>
    <w:rsid w:val="9F6B23F2"/>
    <w:rsid w:val="9F75665E"/>
    <w:rsid w:val="9F771DF0"/>
    <w:rsid w:val="9F7D2D72"/>
    <w:rsid w:val="9FB36452"/>
    <w:rsid w:val="9FB90463"/>
    <w:rsid w:val="9FC5A95C"/>
    <w:rsid w:val="9FCF7EE0"/>
    <w:rsid w:val="9FDFA1D1"/>
    <w:rsid w:val="9FE94329"/>
    <w:rsid w:val="9FEE66CB"/>
    <w:rsid w:val="9FEF2940"/>
    <w:rsid w:val="9FFBBA26"/>
    <w:rsid w:val="9FFF1E6E"/>
    <w:rsid w:val="9FFF3793"/>
    <w:rsid w:val="9FFF860E"/>
    <w:rsid w:val="9FFFE717"/>
    <w:rsid w:val="A1C1DA12"/>
    <w:rsid w:val="A1FE3024"/>
    <w:rsid w:val="A5FF9465"/>
    <w:rsid w:val="A6625E3D"/>
    <w:rsid w:val="A7478239"/>
    <w:rsid w:val="A74F3F7C"/>
    <w:rsid w:val="A77E7FE4"/>
    <w:rsid w:val="A7A7C93B"/>
    <w:rsid w:val="A7CF8AC4"/>
    <w:rsid w:val="A7DF12DB"/>
    <w:rsid w:val="A7F3E09B"/>
    <w:rsid w:val="A7FF3BC8"/>
    <w:rsid w:val="A7FF9A69"/>
    <w:rsid w:val="A7FFA177"/>
    <w:rsid w:val="A8F74B6E"/>
    <w:rsid w:val="A9DF35E9"/>
    <w:rsid w:val="AB3FD3ED"/>
    <w:rsid w:val="AB9FCEDD"/>
    <w:rsid w:val="ABE5729A"/>
    <w:rsid w:val="AD337E2F"/>
    <w:rsid w:val="ADCD8D09"/>
    <w:rsid w:val="ADCFDDC2"/>
    <w:rsid w:val="ADDF96F3"/>
    <w:rsid w:val="ADFE8C2C"/>
    <w:rsid w:val="AE09246E"/>
    <w:rsid w:val="AE698515"/>
    <w:rsid w:val="AEEF30F4"/>
    <w:rsid w:val="AEFB74DA"/>
    <w:rsid w:val="AEFF1160"/>
    <w:rsid w:val="AF57B6AB"/>
    <w:rsid w:val="AF7A82DD"/>
    <w:rsid w:val="AF95CCBF"/>
    <w:rsid w:val="AF9911C9"/>
    <w:rsid w:val="AFB74582"/>
    <w:rsid w:val="AFD78014"/>
    <w:rsid w:val="AFFB2791"/>
    <w:rsid w:val="AFFDC7EF"/>
    <w:rsid w:val="AFFE1140"/>
    <w:rsid w:val="B17B3D0C"/>
    <w:rsid w:val="B17DB4D2"/>
    <w:rsid w:val="B2F7BD61"/>
    <w:rsid w:val="B2FF341E"/>
    <w:rsid w:val="B33CBAD2"/>
    <w:rsid w:val="B3FF8788"/>
    <w:rsid w:val="B4EFA499"/>
    <w:rsid w:val="B5E6AE6E"/>
    <w:rsid w:val="B5FF83EC"/>
    <w:rsid w:val="B5FFC45A"/>
    <w:rsid w:val="B6EFD506"/>
    <w:rsid w:val="B6F3BC48"/>
    <w:rsid w:val="B6F8CB48"/>
    <w:rsid w:val="B723D6A6"/>
    <w:rsid w:val="B7793D15"/>
    <w:rsid w:val="B77F4034"/>
    <w:rsid w:val="B7D695DE"/>
    <w:rsid w:val="B7EFB8DA"/>
    <w:rsid w:val="B7EFDE04"/>
    <w:rsid w:val="B7F68A80"/>
    <w:rsid w:val="B7FE47C0"/>
    <w:rsid w:val="B84FB17B"/>
    <w:rsid w:val="B8AC6440"/>
    <w:rsid w:val="B92D8D37"/>
    <w:rsid w:val="B9F325C2"/>
    <w:rsid w:val="B9FB3F9D"/>
    <w:rsid w:val="B9FDD8B8"/>
    <w:rsid w:val="B9FF4E07"/>
    <w:rsid w:val="B9FF62BC"/>
    <w:rsid w:val="BA7ED019"/>
    <w:rsid w:val="BA7F8361"/>
    <w:rsid w:val="BA8F9FC5"/>
    <w:rsid w:val="BA9F6234"/>
    <w:rsid w:val="BAA76C2D"/>
    <w:rsid w:val="BABF6D71"/>
    <w:rsid w:val="BADB1B30"/>
    <w:rsid w:val="BADF6A2B"/>
    <w:rsid w:val="BAF7C233"/>
    <w:rsid w:val="BAFC475B"/>
    <w:rsid w:val="BB4B6000"/>
    <w:rsid w:val="BB54B45D"/>
    <w:rsid w:val="BB7F0C95"/>
    <w:rsid w:val="BB7F4E74"/>
    <w:rsid w:val="BB9F3086"/>
    <w:rsid w:val="BBAFFCE6"/>
    <w:rsid w:val="BBC71D71"/>
    <w:rsid w:val="BBDD3DD8"/>
    <w:rsid w:val="BBDE9A5C"/>
    <w:rsid w:val="BBDF25B5"/>
    <w:rsid w:val="BBFB057D"/>
    <w:rsid w:val="BBFFC88D"/>
    <w:rsid w:val="BC27C28D"/>
    <w:rsid w:val="BC6FABBE"/>
    <w:rsid w:val="BC7DEA7C"/>
    <w:rsid w:val="BCBD111C"/>
    <w:rsid w:val="BD088C50"/>
    <w:rsid w:val="BD3415E7"/>
    <w:rsid w:val="BD694DDD"/>
    <w:rsid w:val="BD6EF0A3"/>
    <w:rsid w:val="BD75BF03"/>
    <w:rsid w:val="BD8F572E"/>
    <w:rsid w:val="BD99C518"/>
    <w:rsid w:val="BDAFBFF6"/>
    <w:rsid w:val="BDEE9870"/>
    <w:rsid w:val="BDEF75BF"/>
    <w:rsid w:val="BDF7CDBF"/>
    <w:rsid w:val="BDFD36FC"/>
    <w:rsid w:val="BDFF01FE"/>
    <w:rsid w:val="BDFF9BA5"/>
    <w:rsid w:val="BDFFAC8B"/>
    <w:rsid w:val="BE75BD8E"/>
    <w:rsid w:val="BEB39000"/>
    <w:rsid w:val="BEBF1990"/>
    <w:rsid w:val="BEDD885A"/>
    <w:rsid w:val="BEEB8B2F"/>
    <w:rsid w:val="BEF52032"/>
    <w:rsid w:val="BEFE1E02"/>
    <w:rsid w:val="BEFF62AF"/>
    <w:rsid w:val="BEFFB330"/>
    <w:rsid w:val="BEFFFC4D"/>
    <w:rsid w:val="BF2F0158"/>
    <w:rsid w:val="BF2F7042"/>
    <w:rsid w:val="BF3397B9"/>
    <w:rsid w:val="BF3F195F"/>
    <w:rsid w:val="BF3F5934"/>
    <w:rsid w:val="BF3FA5D1"/>
    <w:rsid w:val="BF6F4C80"/>
    <w:rsid w:val="BF771EC3"/>
    <w:rsid w:val="BF77CB68"/>
    <w:rsid w:val="BF7A0DC3"/>
    <w:rsid w:val="BF7D2063"/>
    <w:rsid w:val="BF8BC1A7"/>
    <w:rsid w:val="BF9DAA9D"/>
    <w:rsid w:val="BFA7C883"/>
    <w:rsid w:val="BFA7FD67"/>
    <w:rsid w:val="BFA92B9C"/>
    <w:rsid w:val="BFAAFA2F"/>
    <w:rsid w:val="BFB6BFC4"/>
    <w:rsid w:val="BFBB011F"/>
    <w:rsid w:val="BFBF95D0"/>
    <w:rsid w:val="BFCD94A7"/>
    <w:rsid w:val="BFDAB8B1"/>
    <w:rsid w:val="BFDC1501"/>
    <w:rsid w:val="BFDC2C6E"/>
    <w:rsid w:val="BFDD1362"/>
    <w:rsid w:val="BFDF8329"/>
    <w:rsid w:val="BFDFC344"/>
    <w:rsid w:val="BFEB772D"/>
    <w:rsid w:val="BFEB7CD8"/>
    <w:rsid w:val="BFED05AD"/>
    <w:rsid w:val="BFEF4AF1"/>
    <w:rsid w:val="BFEFF377"/>
    <w:rsid w:val="BFF12CD4"/>
    <w:rsid w:val="BFF51A38"/>
    <w:rsid w:val="BFF5808B"/>
    <w:rsid w:val="BFFB134B"/>
    <w:rsid w:val="BFFD62FD"/>
    <w:rsid w:val="BFFD7436"/>
    <w:rsid w:val="BFFD8B09"/>
    <w:rsid w:val="BFFDA0AC"/>
    <w:rsid w:val="BFFE8631"/>
    <w:rsid w:val="BFFF0794"/>
    <w:rsid w:val="BFFF4520"/>
    <w:rsid w:val="BFFF49BC"/>
    <w:rsid w:val="BFFF5F1B"/>
    <w:rsid w:val="BFFFAF0F"/>
    <w:rsid w:val="BFFFD597"/>
    <w:rsid w:val="C2BFDFD0"/>
    <w:rsid w:val="C3FA73FE"/>
    <w:rsid w:val="C44BC808"/>
    <w:rsid w:val="C67712AA"/>
    <w:rsid w:val="C6B717A7"/>
    <w:rsid w:val="C72B07F9"/>
    <w:rsid w:val="C75BDE8C"/>
    <w:rsid w:val="C75DAC2D"/>
    <w:rsid w:val="C7B9DBAB"/>
    <w:rsid w:val="C97C0025"/>
    <w:rsid w:val="C9FD88B4"/>
    <w:rsid w:val="CAE7E603"/>
    <w:rsid w:val="CB49FE6E"/>
    <w:rsid w:val="CBDB5E31"/>
    <w:rsid w:val="CBDF7BBF"/>
    <w:rsid w:val="CBEF9457"/>
    <w:rsid w:val="CBF604E2"/>
    <w:rsid w:val="CBF90A7E"/>
    <w:rsid w:val="CBFD75EA"/>
    <w:rsid w:val="CBFF772A"/>
    <w:rsid w:val="CBFFB403"/>
    <w:rsid w:val="CBFFEEE0"/>
    <w:rsid w:val="CCBFC647"/>
    <w:rsid w:val="CCDF70AB"/>
    <w:rsid w:val="CCF6952F"/>
    <w:rsid w:val="CCFF5CC9"/>
    <w:rsid w:val="CD3FB37D"/>
    <w:rsid w:val="CDFE93C8"/>
    <w:rsid w:val="CDFECBBB"/>
    <w:rsid w:val="CE47E7F2"/>
    <w:rsid w:val="CE698D42"/>
    <w:rsid w:val="CE76A9E0"/>
    <w:rsid w:val="CE8F57EC"/>
    <w:rsid w:val="CE9F9362"/>
    <w:rsid w:val="CECBBE7D"/>
    <w:rsid w:val="CEDF26A5"/>
    <w:rsid w:val="CEFD9075"/>
    <w:rsid w:val="CF1FF371"/>
    <w:rsid w:val="CF358AC7"/>
    <w:rsid w:val="CF3F8C1B"/>
    <w:rsid w:val="CF992904"/>
    <w:rsid w:val="CFB4B220"/>
    <w:rsid w:val="CFB75851"/>
    <w:rsid w:val="CFFB5DBB"/>
    <w:rsid w:val="CFFE2051"/>
    <w:rsid w:val="CFFECED6"/>
    <w:rsid w:val="D06F813A"/>
    <w:rsid w:val="D0FA24AA"/>
    <w:rsid w:val="D13D5763"/>
    <w:rsid w:val="D1CDC3E4"/>
    <w:rsid w:val="D1FDD5EA"/>
    <w:rsid w:val="D2BB04D2"/>
    <w:rsid w:val="D37F28CD"/>
    <w:rsid w:val="D3DF1803"/>
    <w:rsid w:val="D3FC8BAC"/>
    <w:rsid w:val="D4EEAFD4"/>
    <w:rsid w:val="D4F2AF2C"/>
    <w:rsid w:val="D4FEE17F"/>
    <w:rsid w:val="D4FF3C63"/>
    <w:rsid w:val="D4FF5599"/>
    <w:rsid w:val="D4FFBD2F"/>
    <w:rsid w:val="D57C7B09"/>
    <w:rsid w:val="D5BAB0E9"/>
    <w:rsid w:val="D5BF590F"/>
    <w:rsid w:val="D5F7DC23"/>
    <w:rsid w:val="D6964295"/>
    <w:rsid w:val="D6D9F8BB"/>
    <w:rsid w:val="D6F79493"/>
    <w:rsid w:val="D778AA8B"/>
    <w:rsid w:val="D77F5750"/>
    <w:rsid w:val="D7A64282"/>
    <w:rsid w:val="D7BB727A"/>
    <w:rsid w:val="D7C31E61"/>
    <w:rsid w:val="D7CE00B3"/>
    <w:rsid w:val="D7D7E09A"/>
    <w:rsid w:val="D7DB2FEA"/>
    <w:rsid w:val="D7DB33BA"/>
    <w:rsid w:val="D7F3BA69"/>
    <w:rsid w:val="D7F65416"/>
    <w:rsid w:val="D7F7190E"/>
    <w:rsid w:val="D7FB3B92"/>
    <w:rsid w:val="D7FBD5FF"/>
    <w:rsid w:val="D7FD040A"/>
    <w:rsid w:val="D7FF13DC"/>
    <w:rsid w:val="D7FF28A4"/>
    <w:rsid w:val="D83B7FD1"/>
    <w:rsid w:val="D96A7EBD"/>
    <w:rsid w:val="D9BC6CA9"/>
    <w:rsid w:val="D9BCD820"/>
    <w:rsid w:val="D9BEF0FD"/>
    <w:rsid w:val="D9C7385C"/>
    <w:rsid w:val="D9F244BA"/>
    <w:rsid w:val="D9FDF04C"/>
    <w:rsid w:val="D9FF29C0"/>
    <w:rsid w:val="DA78EA3D"/>
    <w:rsid w:val="DADDC76D"/>
    <w:rsid w:val="DAE76D3F"/>
    <w:rsid w:val="DB0F9C2E"/>
    <w:rsid w:val="DB57DBA9"/>
    <w:rsid w:val="DB9D8BCC"/>
    <w:rsid w:val="DBF6D6C3"/>
    <w:rsid w:val="DBFC7A5B"/>
    <w:rsid w:val="DBFDA5F0"/>
    <w:rsid w:val="DCCEC40B"/>
    <w:rsid w:val="DCFE5F54"/>
    <w:rsid w:val="DCFF52DA"/>
    <w:rsid w:val="DD5D14FA"/>
    <w:rsid w:val="DD7621F1"/>
    <w:rsid w:val="DD7F89F7"/>
    <w:rsid w:val="DDC73D37"/>
    <w:rsid w:val="DDD73E61"/>
    <w:rsid w:val="DDD7C9A9"/>
    <w:rsid w:val="DDF5D273"/>
    <w:rsid w:val="DDF6B08F"/>
    <w:rsid w:val="DDF70EB5"/>
    <w:rsid w:val="DDF7B1AC"/>
    <w:rsid w:val="DDFB3162"/>
    <w:rsid w:val="DDFDC2C3"/>
    <w:rsid w:val="DDFFF9D0"/>
    <w:rsid w:val="DE6FFBD1"/>
    <w:rsid w:val="DE7E25ED"/>
    <w:rsid w:val="DEBD3203"/>
    <w:rsid w:val="DEDF1E14"/>
    <w:rsid w:val="DEDFC054"/>
    <w:rsid w:val="DEEB408B"/>
    <w:rsid w:val="DEEBE5EA"/>
    <w:rsid w:val="DEEF6F93"/>
    <w:rsid w:val="DEFADC4D"/>
    <w:rsid w:val="DEFB2FD2"/>
    <w:rsid w:val="DEFBDF09"/>
    <w:rsid w:val="DEFE167C"/>
    <w:rsid w:val="DEFFA7E0"/>
    <w:rsid w:val="DEFFEB95"/>
    <w:rsid w:val="DF0FCAD8"/>
    <w:rsid w:val="DF1D317D"/>
    <w:rsid w:val="DF3D8A84"/>
    <w:rsid w:val="DF590633"/>
    <w:rsid w:val="DF5B4CF4"/>
    <w:rsid w:val="DF5BA235"/>
    <w:rsid w:val="DF6F0BF8"/>
    <w:rsid w:val="DF7D4CCB"/>
    <w:rsid w:val="DF7DCD34"/>
    <w:rsid w:val="DF7FD53C"/>
    <w:rsid w:val="DF934A59"/>
    <w:rsid w:val="DF9615B8"/>
    <w:rsid w:val="DFA568A5"/>
    <w:rsid w:val="DFA7D206"/>
    <w:rsid w:val="DFA7E594"/>
    <w:rsid w:val="DFAD48FE"/>
    <w:rsid w:val="DFAFDEF9"/>
    <w:rsid w:val="DFBF138B"/>
    <w:rsid w:val="DFC99933"/>
    <w:rsid w:val="DFCF51C9"/>
    <w:rsid w:val="DFD16D34"/>
    <w:rsid w:val="DFD38BB2"/>
    <w:rsid w:val="DFD779A3"/>
    <w:rsid w:val="DFD7CA1C"/>
    <w:rsid w:val="DFDE35E2"/>
    <w:rsid w:val="DFDF3AEB"/>
    <w:rsid w:val="DFDF7473"/>
    <w:rsid w:val="DFDF95B0"/>
    <w:rsid w:val="DFDFFF21"/>
    <w:rsid w:val="DFE33D19"/>
    <w:rsid w:val="DFEB12F3"/>
    <w:rsid w:val="DFEC4EFC"/>
    <w:rsid w:val="DFEE97B7"/>
    <w:rsid w:val="DFEEA40A"/>
    <w:rsid w:val="DFEF6B6B"/>
    <w:rsid w:val="DFF19384"/>
    <w:rsid w:val="DFF1CE3C"/>
    <w:rsid w:val="DFF480F2"/>
    <w:rsid w:val="DFFA3151"/>
    <w:rsid w:val="DFFB9B16"/>
    <w:rsid w:val="DFFCCBE9"/>
    <w:rsid w:val="DFFD2445"/>
    <w:rsid w:val="DFFD5A4B"/>
    <w:rsid w:val="DFFE3944"/>
    <w:rsid w:val="DFFE4F82"/>
    <w:rsid w:val="DFFE9F3A"/>
    <w:rsid w:val="DFFEDD99"/>
    <w:rsid w:val="DFFF22BD"/>
    <w:rsid w:val="DFFF8ACD"/>
    <w:rsid w:val="DFFF9669"/>
    <w:rsid w:val="DFFFC570"/>
    <w:rsid w:val="E07E7750"/>
    <w:rsid w:val="E0EECA73"/>
    <w:rsid w:val="E118F61F"/>
    <w:rsid w:val="E1BE849A"/>
    <w:rsid w:val="E1EF32C9"/>
    <w:rsid w:val="E33FF317"/>
    <w:rsid w:val="E3AF3443"/>
    <w:rsid w:val="E3B514EB"/>
    <w:rsid w:val="E3F0BA4A"/>
    <w:rsid w:val="E3FB5AB8"/>
    <w:rsid w:val="E3FF5CF2"/>
    <w:rsid w:val="E3FFE67E"/>
    <w:rsid w:val="E5A7973A"/>
    <w:rsid w:val="E5F70A03"/>
    <w:rsid w:val="E676F13B"/>
    <w:rsid w:val="E69FA93F"/>
    <w:rsid w:val="E6FD2A32"/>
    <w:rsid w:val="E6FEF59F"/>
    <w:rsid w:val="E6FF6EFE"/>
    <w:rsid w:val="E71F83EE"/>
    <w:rsid w:val="E7667E70"/>
    <w:rsid w:val="E77F5488"/>
    <w:rsid w:val="E77FFF4B"/>
    <w:rsid w:val="E7B6D474"/>
    <w:rsid w:val="E7D45C01"/>
    <w:rsid w:val="E7DC651D"/>
    <w:rsid w:val="E7E689EB"/>
    <w:rsid w:val="E7F78722"/>
    <w:rsid w:val="E7F7DAFF"/>
    <w:rsid w:val="E7FBB1F7"/>
    <w:rsid w:val="E7FDA451"/>
    <w:rsid w:val="E7FF0875"/>
    <w:rsid w:val="E7FF5D1F"/>
    <w:rsid w:val="E8E74825"/>
    <w:rsid w:val="E9733750"/>
    <w:rsid w:val="E99C957D"/>
    <w:rsid w:val="E9DF75E2"/>
    <w:rsid w:val="E9DF7F2B"/>
    <w:rsid w:val="E9E527E6"/>
    <w:rsid w:val="E9EE8582"/>
    <w:rsid w:val="E9F57D57"/>
    <w:rsid w:val="E9F78554"/>
    <w:rsid w:val="EA7B6A92"/>
    <w:rsid w:val="EAAFAFF6"/>
    <w:rsid w:val="EABD7AF9"/>
    <w:rsid w:val="EB77F94E"/>
    <w:rsid w:val="EB7F28AD"/>
    <w:rsid w:val="EB7F38ED"/>
    <w:rsid w:val="EB7FE963"/>
    <w:rsid w:val="EB917228"/>
    <w:rsid w:val="EBBF8AC7"/>
    <w:rsid w:val="EBD7CCA0"/>
    <w:rsid w:val="EBDFAD7A"/>
    <w:rsid w:val="EBF1E78A"/>
    <w:rsid w:val="EBFE1241"/>
    <w:rsid w:val="EBFE4F09"/>
    <w:rsid w:val="EC7671E5"/>
    <w:rsid w:val="ECF891C1"/>
    <w:rsid w:val="ECFD62B1"/>
    <w:rsid w:val="ED2B9AB5"/>
    <w:rsid w:val="ED5E91D7"/>
    <w:rsid w:val="ED6F6FA3"/>
    <w:rsid w:val="ED6FCDD0"/>
    <w:rsid w:val="ED7C4550"/>
    <w:rsid w:val="ED9FE896"/>
    <w:rsid w:val="EDBECAE8"/>
    <w:rsid w:val="EDCB5C90"/>
    <w:rsid w:val="EDCF7387"/>
    <w:rsid w:val="EDD55C73"/>
    <w:rsid w:val="EDDE237A"/>
    <w:rsid w:val="EDEE5892"/>
    <w:rsid w:val="EDEF5DB7"/>
    <w:rsid w:val="EDFF0760"/>
    <w:rsid w:val="EDFF3CAC"/>
    <w:rsid w:val="EDFFDBEF"/>
    <w:rsid w:val="EE998967"/>
    <w:rsid w:val="EEB41252"/>
    <w:rsid w:val="EEBD0B6E"/>
    <w:rsid w:val="EECBDBA6"/>
    <w:rsid w:val="EED3F1FB"/>
    <w:rsid w:val="EED7DF8F"/>
    <w:rsid w:val="EEDF48C4"/>
    <w:rsid w:val="EEF201BF"/>
    <w:rsid w:val="EEF39EF3"/>
    <w:rsid w:val="EEF70666"/>
    <w:rsid w:val="EEFB1CE5"/>
    <w:rsid w:val="EEFE2387"/>
    <w:rsid w:val="EEFF100A"/>
    <w:rsid w:val="EF3E581A"/>
    <w:rsid w:val="EF3FBA30"/>
    <w:rsid w:val="EF5DC4BB"/>
    <w:rsid w:val="EF5F9CBD"/>
    <w:rsid w:val="EF668442"/>
    <w:rsid w:val="EF674B9A"/>
    <w:rsid w:val="EF6FD563"/>
    <w:rsid w:val="EF75BC74"/>
    <w:rsid w:val="EF7CC72D"/>
    <w:rsid w:val="EF7CDD3A"/>
    <w:rsid w:val="EF929565"/>
    <w:rsid w:val="EF9FC7B8"/>
    <w:rsid w:val="EFAAD946"/>
    <w:rsid w:val="EFAFC595"/>
    <w:rsid w:val="EFB24126"/>
    <w:rsid w:val="EFBB4F60"/>
    <w:rsid w:val="EFBE825A"/>
    <w:rsid w:val="EFBEAA2A"/>
    <w:rsid w:val="EFBF73C2"/>
    <w:rsid w:val="EFBFF2E7"/>
    <w:rsid w:val="EFCADA3D"/>
    <w:rsid w:val="EFCF2FFE"/>
    <w:rsid w:val="EFCF5357"/>
    <w:rsid w:val="EFD36309"/>
    <w:rsid w:val="EFD570F4"/>
    <w:rsid w:val="EFD628A4"/>
    <w:rsid w:val="EFD6919D"/>
    <w:rsid w:val="EFD6C6F5"/>
    <w:rsid w:val="EFDC8024"/>
    <w:rsid w:val="EFDE774A"/>
    <w:rsid w:val="EFE76CBD"/>
    <w:rsid w:val="EFEF828A"/>
    <w:rsid w:val="EFEFA05D"/>
    <w:rsid w:val="EFEFBEBF"/>
    <w:rsid w:val="EFF1E03A"/>
    <w:rsid w:val="EFF48B60"/>
    <w:rsid w:val="EFF58ACB"/>
    <w:rsid w:val="EFF862D5"/>
    <w:rsid w:val="EFFB936D"/>
    <w:rsid w:val="EFFBD08E"/>
    <w:rsid w:val="EFFBF0EC"/>
    <w:rsid w:val="EFFC08A6"/>
    <w:rsid w:val="EFFCA2AE"/>
    <w:rsid w:val="EFFDB664"/>
    <w:rsid w:val="EFFEC27F"/>
    <w:rsid w:val="EFFF09FC"/>
    <w:rsid w:val="EFFF0FEE"/>
    <w:rsid w:val="EFFF2698"/>
    <w:rsid w:val="EFFF5805"/>
    <w:rsid w:val="EFFF5C24"/>
    <w:rsid w:val="EFFF6B72"/>
    <w:rsid w:val="EFFFA2BC"/>
    <w:rsid w:val="EFFFFD1E"/>
    <w:rsid w:val="F09EF540"/>
    <w:rsid w:val="F0DF7EBD"/>
    <w:rsid w:val="F12B96CE"/>
    <w:rsid w:val="F15F7658"/>
    <w:rsid w:val="F17782D4"/>
    <w:rsid w:val="F1FF9777"/>
    <w:rsid w:val="F1FFA9F4"/>
    <w:rsid w:val="F2967E45"/>
    <w:rsid w:val="F37720EE"/>
    <w:rsid w:val="F3774A41"/>
    <w:rsid w:val="F37C041E"/>
    <w:rsid w:val="F37E4CB2"/>
    <w:rsid w:val="F396BA9F"/>
    <w:rsid w:val="F3A79F36"/>
    <w:rsid w:val="F3A877DE"/>
    <w:rsid w:val="F3AC535E"/>
    <w:rsid w:val="F3BB17E5"/>
    <w:rsid w:val="F3BF6FA2"/>
    <w:rsid w:val="F3D7C811"/>
    <w:rsid w:val="F3DB54A3"/>
    <w:rsid w:val="F3DE14F6"/>
    <w:rsid w:val="F3FEF54E"/>
    <w:rsid w:val="F3FF1BDE"/>
    <w:rsid w:val="F47F0AAB"/>
    <w:rsid w:val="F4B58A89"/>
    <w:rsid w:val="F4E75432"/>
    <w:rsid w:val="F4EFB931"/>
    <w:rsid w:val="F4F913BB"/>
    <w:rsid w:val="F4FBB6BD"/>
    <w:rsid w:val="F50DA55E"/>
    <w:rsid w:val="F53FE911"/>
    <w:rsid w:val="F59EBEDF"/>
    <w:rsid w:val="F59FF3D4"/>
    <w:rsid w:val="F5A3ECDE"/>
    <w:rsid w:val="F5AB0A12"/>
    <w:rsid w:val="F5BE0F94"/>
    <w:rsid w:val="F5BF4C20"/>
    <w:rsid w:val="F5C18B74"/>
    <w:rsid w:val="F5CD5301"/>
    <w:rsid w:val="F5CEE3FE"/>
    <w:rsid w:val="F5D3CFD2"/>
    <w:rsid w:val="F5FF5356"/>
    <w:rsid w:val="F6593CDD"/>
    <w:rsid w:val="F65BC9BF"/>
    <w:rsid w:val="F66E7196"/>
    <w:rsid w:val="F697E959"/>
    <w:rsid w:val="F6AB859C"/>
    <w:rsid w:val="F6AF4CD9"/>
    <w:rsid w:val="F6BF0BC9"/>
    <w:rsid w:val="F6CB06E6"/>
    <w:rsid w:val="F6DAEB30"/>
    <w:rsid w:val="F6DFDB94"/>
    <w:rsid w:val="F6DFDCA7"/>
    <w:rsid w:val="F6E77718"/>
    <w:rsid w:val="F6EBDD24"/>
    <w:rsid w:val="F6ECEC68"/>
    <w:rsid w:val="F6FBD306"/>
    <w:rsid w:val="F6FC22E0"/>
    <w:rsid w:val="F6FD8154"/>
    <w:rsid w:val="F6FF1C4C"/>
    <w:rsid w:val="F6FFD210"/>
    <w:rsid w:val="F713F41F"/>
    <w:rsid w:val="F72FF0FE"/>
    <w:rsid w:val="F752BF53"/>
    <w:rsid w:val="F7773900"/>
    <w:rsid w:val="F77D4474"/>
    <w:rsid w:val="F77D98C5"/>
    <w:rsid w:val="F77E5D86"/>
    <w:rsid w:val="F77FC981"/>
    <w:rsid w:val="F797D933"/>
    <w:rsid w:val="F7ABF1B5"/>
    <w:rsid w:val="F7AD1510"/>
    <w:rsid w:val="F7ADDD62"/>
    <w:rsid w:val="F7B39B68"/>
    <w:rsid w:val="F7B76B0A"/>
    <w:rsid w:val="F7B7C8AE"/>
    <w:rsid w:val="F7BB2BB0"/>
    <w:rsid w:val="F7BEDB1F"/>
    <w:rsid w:val="F7BF51D2"/>
    <w:rsid w:val="F7BFBA26"/>
    <w:rsid w:val="F7CFF4C2"/>
    <w:rsid w:val="F7D62016"/>
    <w:rsid w:val="F7D65EFC"/>
    <w:rsid w:val="F7D6BF1F"/>
    <w:rsid w:val="F7D77A59"/>
    <w:rsid w:val="F7D7B5CB"/>
    <w:rsid w:val="F7DE329B"/>
    <w:rsid w:val="F7DF0153"/>
    <w:rsid w:val="F7DF4FBC"/>
    <w:rsid w:val="F7DF5BD0"/>
    <w:rsid w:val="F7DF5F7B"/>
    <w:rsid w:val="F7ECC5C9"/>
    <w:rsid w:val="F7ED3052"/>
    <w:rsid w:val="F7EF6C48"/>
    <w:rsid w:val="F7EF78E1"/>
    <w:rsid w:val="F7F35028"/>
    <w:rsid w:val="F7F35059"/>
    <w:rsid w:val="F7F5E09E"/>
    <w:rsid w:val="F7F70FED"/>
    <w:rsid w:val="F7F7E29E"/>
    <w:rsid w:val="F7F9DF24"/>
    <w:rsid w:val="F7FBBBEA"/>
    <w:rsid w:val="F7FC6461"/>
    <w:rsid w:val="F7FC97A0"/>
    <w:rsid w:val="F7FDA50A"/>
    <w:rsid w:val="F7FDAB9F"/>
    <w:rsid w:val="F7FDDB8F"/>
    <w:rsid w:val="F7FE07CF"/>
    <w:rsid w:val="F7FEAD7E"/>
    <w:rsid w:val="F7FEB438"/>
    <w:rsid w:val="F7FEFF6C"/>
    <w:rsid w:val="F7FF6419"/>
    <w:rsid w:val="F7FF6BD7"/>
    <w:rsid w:val="F85F0790"/>
    <w:rsid w:val="F87F854D"/>
    <w:rsid w:val="F8A198A8"/>
    <w:rsid w:val="F8AF0247"/>
    <w:rsid w:val="F8DAAA3C"/>
    <w:rsid w:val="F8F32D4C"/>
    <w:rsid w:val="F8F75534"/>
    <w:rsid w:val="F8FCD0E6"/>
    <w:rsid w:val="F93B6CB5"/>
    <w:rsid w:val="F95A516A"/>
    <w:rsid w:val="F95F6BFC"/>
    <w:rsid w:val="F972CD36"/>
    <w:rsid w:val="F97DCFF9"/>
    <w:rsid w:val="F9B758FA"/>
    <w:rsid w:val="F9BB2E35"/>
    <w:rsid w:val="F9DA270A"/>
    <w:rsid w:val="F9DA4A38"/>
    <w:rsid w:val="F9EF861E"/>
    <w:rsid w:val="F9F599A1"/>
    <w:rsid w:val="F9F70E1C"/>
    <w:rsid w:val="F9F7946A"/>
    <w:rsid w:val="F9F79CA5"/>
    <w:rsid w:val="F9FBEC13"/>
    <w:rsid w:val="F9FDC684"/>
    <w:rsid w:val="F9FE42B8"/>
    <w:rsid w:val="FA3FBB8F"/>
    <w:rsid w:val="FA6E2D15"/>
    <w:rsid w:val="FA7896D2"/>
    <w:rsid w:val="FA7C7E46"/>
    <w:rsid w:val="FA7DB4E1"/>
    <w:rsid w:val="FA8E52AB"/>
    <w:rsid w:val="FA8FC28F"/>
    <w:rsid w:val="FA9F2DAF"/>
    <w:rsid w:val="FACD451B"/>
    <w:rsid w:val="FACF3533"/>
    <w:rsid w:val="FADF5DD0"/>
    <w:rsid w:val="FADFA80C"/>
    <w:rsid w:val="FAECDE36"/>
    <w:rsid w:val="FAEF1ECD"/>
    <w:rsid w:val="FAF68F53"/>
    <w:rsid w:val="FAF70538"/>
    <w:rsid w:val="FAF79883"/>
    <w:rsid w:val="FAF7FBF8"/>
    <w:rsid w:val="FAFE3C6F"/>
    <w:rsid w:val="FB1F009A"/>
    <w:rsid w:val="FB1F12DA"/>
    <w:rsid w:val="FB3F2641"/>
    <w:rsid w:val="FB5EBF7B"/>
    <w:rsid w:val="FB77644D"/>
    <w:rsid w:val="FB7B2507"/>
    <w:rsid w:val="FB7DA858"/>
    <w:rsid w:val="FB7DB23E"/>
    <w:rsid w:val="FB9DA4FA"/>
    <w:rsid w:val="FB9DCBFB"/>
    <w:rsid w:val="FB9F63C6"/>
    <w:rsid w:val="FBB3F735"/>
    <w:rsid w:val="FBBDF020"/>
    <w:rsid w:val="FBBE3588"/>
    <w:rsid w:val="FBBF0B5F"/>
    <w:rsid w:val="FBBFB339"/>
    <w:rsid w:val="FBCD8B7E"/>
    <w:rsid w:val="FBCD8DD6"/>
    <w:rsid w:val="FBD66CD3"/>
    <w:rsid w:val="FBD7A82D"/>
    <w:rsid w:val="FBD9507E"/>
    <w:rsid w:val="FBDA3DD9"/>
    <w:rsid w:val="FBDE6C8C"/>
    <w:rsid w:val="FBDF4776"/>
    <w:rsid w:val="FBECFD03"/>
    <w:rsid w:val="FBEE25AC"/>
    <w:rsid w:val="FBEF1A48"/>
    <w:rsid w:val="FBF3F0EC"/>
    <w:rsid w:val="FBF732C5"/>
    <w:rsid w:val="FBF79062"/>
    <w:rsid w:val="FBF7C4B3"/>
    <w:rsid w:val="FBF7D0F6"/>
    <w:rsid w:val="FBF86A22"/>
    <w:rsid w:val="FBFA7557"/>
    <w:rsid w:val="FBFA87BE"/>
    <w:rsid w:val="FBFADDA6"/>
    <w:rsid w:val="FBFBAF1E"/>
    <w:rsid w:val="FBFDDFDC"/>
    <w:rsid w:val="FBFF0081"/>
    <w:rsid w:val="FBFF840F"/>
    <w:rsid w:val="FBFFC823"/>
    <w:rsid w:val="FBFFEFF7"/>
    <w:rsid w:val="FC6B2FB2"/>
    <w:rsid w:val="FC7F4313"/>
    <w:rsid w:val="FC7F54E8"/>
    <w:rsid w:val="FC8B3076"/>
    <w:rsid w:val="FC9DDE50"/>
    <w:rsid w:val="FC9FFA2B"/>
    <w:rsid w:val="FCA41076"/>
    <w:rsid w:val="FCF28AE9"/>
    <w:rsid w:val="FCFB448A"/>
    <w:rsid w:val="FCFBB0B1"/>
    <w:rsid w:val="FCFD0408"/>
    <w:rsid w:val="FCFE3156"/>
    <w:rsid w:val="FCFF0CEF"/>
    <w:rsid w:val="FCFFD8B6"/>
    <w:rsid w:val="FCFFFAEE"/>
    <w:rsid w:val="FD13AFCB"/>
    <w:rsid w:val="FD1DA8B8"/>
    <w:rsid w:val="FD2BD7A4"/>
    <w:rsid w:val="FD3F5957"/>
    <w:rsid w:val="FD5AF18E"/>
    <w:rsid w:val="FD5BCFF4"/>
    <w:rsid w:val="FD5F4E28"/>
    <w:rsid w:val="FD6FF154"/>
    <w:rsid w:val="FD73E1BC"/>
    <w:rsid w:val="FD777F0A"/>
    <w:rsid w:val="FD77F67F"/>
    <w:rsid w:val="FD7B6F30"/>
    <w:rsid w:val="FD7D3D4C"/>
    <w:rsid w:val="FD7FD3D0"/>
    <w:rsid w:val="FD7FF005"/>
    <w:rsid w:val="FD84D9ED"/>
    <w:rsid w:val="FD8FB1F0"/>
    <w:rsid w:val="FD97D0D7"/>
    <w:rsid w:val="FDBC8EFC"/>
    <w:rsid w:val="FDBCFD04"/>
    <w:rsid w:val="FDBFB8E4"/>
    <w:rsid w:val="FDDD21CC"/>
    <w:rsid w:val="FDDE0646"/>
    <w:rsid w:val="FDDF9386"/>
    <w:rsid w:val="FDE1FDEA"/>
    <w:rsid w:val="FDE682E6"/>
    <w:rsid w:val="FDE6EF9B"/>
    <w:rsid w:val="FDE75052"/>
    <w:rsid w:val="FDEC66C2"/>
    <w:rsid w:val="FDEDF598"/>
    <w:rsid w:val="FDF54062"/>
    <w:rsid w:val="FDF740AA"/>
    <w:rsid w:val="FDF769EB"/>
    <w:rsid w:val="FDF7AA64"/>
    <w:rsid w:val="FDF7CA58"/>
    <w:rsid w:val="FDFC44DE"/>
    <w:rsid w:val="FDFC6C3B"/>
    <w:rsid w:val="FDFDD261"/>
    <w:rsid w:val="FDFDE22E"/>
    <w:rsid w:val="FDFF47FA"/>
    <w:rsid w:val="FDFFD2E6"/>
    <w:rsid w:val="FE1E7EEA"/>
    <w:rsid w:val="FE1F348F"/>
    <w:rsid w:val="FE3B5197"/>
    <w:rsid w:val="FE5F4B88"/>
    <w:rsid w:val="FE6B3D02"/>
    <w:rsid w:val="FE72A9C8"/>
    <w:rsid w:val="FE749E51"/>
    <w:rsid w:val="FE77A787"/>
    <w:rsid w:val="FE77B38E"/>
    <w:rsid w:val="FE7A60BD"/>
    <w:rsid w:val="FE7B72F3"/>
    <w:rsid w:val="FE7F5A25"/>
    <w:rsid w:val="FE9C2DD2"/>
    <w:rsid w:val="FE9F6761"/>
    <w:rsid w:val="FEAFD50D"/>
    <w:rsid w:val="FEAFDEBF"/>
    <w:rsid w:val="FEBB3B42"/>
    <w:rsid w:val="FEBEC934"/>
    <w:rsid w:val="FECDA753"/>
    <w:rsid w:val="FED9DBE1"/>
    <w:rsid w:val="FEDA5B09"/>
    <w:rsid w:val="FEDD180C"/>
    <w:rsid w:val="FEDD7720"/>
    <w:rsid w:val="FEDE7525"/>
    <w:rsid w:val="FEDF7B83"/>
    <w:rsid w:val="FEE87F8A"/>
    <w:rsid w:val="FEEB8FF0"/>
    <w:rsid w:val="FEEC9D7A"/>
    <w:rsid w:val="FEEE66E6"/>
    <w:rsid w:val="FEEFF49F"/>
    <w:rsid w:val="FEF6BE92"/>
    <w:rsid w:val="FEF6E4A2"/>
    <w:rsid w:val="FEF748A9"/>
    <w:rsid w:val="FEF79608"/>
    <w:rsid w:val="FEFBD4BC"/>
    <w:rsid w:val="FEFD21E3"/>
    <w:rsid w:val="FEFD8DA8"/>
    <w:rsid w:val="FEFD90AF"/>
    <w:rsid w:val="FEFF05D9"/>
    <w:rsid w:val="FEFF377D"/>
    <w:rsid w:val="FEFFA6D1"/>
    <w:rsid w:val="FEFFABF1"/>
    <w:rsid w:val="FEFFD340"/>
    <w:rsid w:val="FEFFF388"/>
    <w:rsid w:val="FF1EE90B"/>
    <w:rsid w:val="FF2DFF22"/>
    <w:rsid w:val="FF2E8167"/>
    <w:rsid w:val="FF2F33F9"/>
    <w:rsid w:val="FF2F53E4"/>
    <w:rsid w:val="FF35E147"/>
    <w:rsid w:val="FF3B22D0"/>
    <w:rsid w:val="FF3B9F85"/>
    <w:rsid w:val="FF3BE929"/>
    <w:rsid w:val="FF3E5027"/>
    <w:rsid w:val="FF3FAA71"/>
    <w:rsid w:val="FF3FD5CB"/>
    <w:rsid w:val="FF42A99E"/>
    <w:rsid w:val="FF4D2724"/>
    <w:rsid w:val="FF5D23EB"/>
    <w:rsid w:val="FF5DAC9C"/>
    <w:rsid w:val="FF5E0797"/>
    <w:rsid w:val="FF5E7FF7"/>
    <w:rsid w:val="FF5F5D21"/>
    <w:rsid w:val="FF65B3F1"/>
    <w:rsid w:val="FF69883E"/>
    <w:rsid w:val="FF6FD87C"/>
    <w:rsid w:val="FF6FEAC3"/>
    <w:rsid w:val="FF72079B"/>
    <w:rsid w:val="FF737090"/>
    <w:rsid w:val="FF74C3D7"/>
    <w:rsid w:val="FF764BE0"/>
    <w:rsid w:val="FF773D3E"/>
    <w:rsid w:val="FF7775C6"/>
    <w:rsid w:val="FF7AA4B3"/>
    <w:rsid w:val="FF7B4D96"/>
    <w:rsid w:val="FF7C09D0"/>
    <w:rsid w:val="FF7E8A04"/>
    <w:rsid w:val="FF7EC882"/>
    <w:rsid w:val="FF7F06AF"/>
    <w:rsid w:val="FF7F37DE"/>
    <w:rsid w:val="FF7FC1E8"/>
    <w:rsid w:val="FF7FF030"/>
    <w:rsid w:val="FF93070A"/>
    <w:rsid w:val="FF932759"/>
    <w:rsid w:val="FF95585C"/>
    <w:rsid w:val="FF974651"/>
    <w:rsid w:val="FF9BC338"/>
    <w:rsid w:val="FF9C510A"/>
    <w:rsid w:val="FF9D32B6"/>
    <w:rsid w:val="FF9F923E"/>
    <w:rsid w:val="FFAB2E6F"/>
    <w:rsid w:val="FFAB384D"/>
    <w:rsid w:val="FFAB50EB"/>
    <w:rsid w:val="FFAD4749"/>
    <w:rsid w:val="FFAF1C34"/>
    <w:rsid w:val="FFAFFDA7"/>
    <w:rsid w:val="FFB93C45"/>
    <w:rsid w:val="FFBABE52"/>
    <w:rsid w:val="FFBB83D7"/>
    <w:rsid w:val="FFBBF51C"/>
    <w:rsid w:val="FFBD39BD"/>
    <w:rsid w:val="FFBDA0EE"/>
    <w:rsid w:val="FFBE02FA"/>
    <w:rsid w:val="FFBE17EE"/>
    <w:rsid w:val="FFBE2812"/>
    <w:rsid w:val="FFBE4DC4"/>
    <w:rsid w:val="FFBE5E66"/>
    <w:rsid w:val="FFBF17FC"/>
    <w:rsid w:val="FFBF92A4"/>
    <w:rsid w:val="FFBF9AC8"/>
    <w:rsid w:val="FFBFD7B3"/>
    <w:rsid w:val="FFBFFC40"/>
    <w:rsid w:val="FFC9844D"/>
    <w:rsid w:val="FFCF7746"/>
    <w:rsid w:val="FFD382E7"/>
    <w:rsid w:val="FFD7B7B6"/>
    <w:rsid w:val="FFD7E735"/>
    <w:rsid w:val="FFD81D20"/>
    <w:rsid w:val="FFD9DEA5"/>
    <w:rsid w:val="FFDB13D3"/>
    <w:rsid w:val="FFDC0D12"/>
    <w:rsid w:val="FFDD83E0"/>
    <w:rsid w:val="FFDE3C18"/>
    <w:rsid w:val="FFDF3668"/>
    <w:rsid w:val="FFDFA766"/>
    <w:rsid w:val="FFDFB9ED"/>
    <w:rsid w:val="FFE2165E"/>
    <w:rsid w:val="FFE63734"/>
    <w:rsid w:val="FFE7669E"/>
    <w:rsid w:val="FFE77731"/>
    <w:rsid w:val="FFEB003E"/>
    <w:rsid w:val="FFEB8765"/>
    <w:rsid w:val="FFEE4034"/>
    <w:rsid w:val="FFEEA7F5"/>
    <w:rsid w:val="FFEF085F"/>
    <w:rsid w:val="FFEFF3AC"/>
    <w:rsid w:val="FFF00ED0"/>
    <w:rsid w:val="FFF2A8C6"/>
    <w:rsid w:val="FFF3D0FD"/>
    <w:rsid w:val="FFF5D512"/>
    <w:rsid w:val="FFF74391"/>
    <w:rsid w:val="FFF99B3B"/>
    <w:rsid w:val="FFFA2790"/>
    <w:rsid w:val="FFFA8987"/>
    <w:rsid w:val="FFFB0A44"/>
    <w:rsid w:val="FFFB3C31"/>
    <w:rsid w:val="FFFB5872"/>
    <w:rsid w:val="FFFB8B0C"/>
    <w:rsid w:val="FFFD0137"/>
    <w:rsid w:val="FFFD57C5"/>
    <w:rsid w:val="FFFD7EBD"/>
    <w:rsid w:val="FFFDE5BB"/>
    <w:rsid w:val="FFFE1767"/>
    <w:rsid w:val="FFFEB7D1"/>
    <w:rsid w:val="FFFEBEED"/>
    <w:rsid w:val="FFFEE738"/>
    <w:rsid w:val="FFFEEB67"/>
    <w:rsid w:val="FFFF1192"/>
    <w:rsid w:val="FFFF2133"/>
    <w:rsid w:val="FFFF234A"/>
    <w:rsid w:val="FFFF2DA0"/>
    <w:rsid w:val="FFFF3DEC"/>
    <w:rsid w:val="FFFF668C"/>
    <w:rsid w:val="FFFF8585"/>
    <w:rsid w:val="FFFF94B0"/>
    <w:rsid w:val="FFFFA51E"/>
    <w:rsid w:val="FFFFD838"/>
    <w:rsid w:val="FFFFE20C"/>
    <w:rsid w:val="FFFFF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4">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首行缩进两字） + 宋体 行距: 1.5 倍行距"/>
    <w:basedOn w:val="3"/>
    <w:qFormat/>
    <w:uiPriority w:val="0"/>
    <w:pPr>
      <w:spacing w:line="300" w:lineRule="auto"/>
      <w:ind w:firstLine="482"/>
      <w:textAlignment w:val="baseline"/>
    </w:pPr>
    <w:rPr>
      <w:rFonts w:ascii="宋体" w:hAnsi="宋体"/>
      <w:sz w:val="24"/>
    </w:rPr>
  </w:style>
  <w:style w:type="paragraph" w:styleId="3">
    <w:name w:val="Normal Indent"/>
    <w:basedOn w:val="1"/>
    <w:next w:val="1"/>
    <w:qFormat/>
    <w:uiPriority w:val="0"/>
    <w:pPr>
      <w:autoSpaceDE w:val="0"/>
      <w:autoSpaceDN w:val="0"/>
      <w:adjustRightInd w:val="0"/>
      <w:spacing w:line="590" w:lineRule="atLeast"/>
      <w:jc w:val="left"/>
    </w:pPr>
    <w:rPr>
      <w:rFonts w:ascii="Times New Roman" w:hAnsi="Times New Roman" w:eastAsia="方正仿宋_GBK" w:cs="Times New Roman"/>
      <w:snapToGrid w:val="0"/>
      <w:spacing w:val="-25"/>
      <w:sz w:val="32"/>
    </w:rPr>
  </w:style>
  <w:style w:type="paragraph" w:styleId="13">
    <w:name w:val="annotation text"/>
    <w:basedOn w:val="1"/>
    <w:semiHidden/>
    <w:unhideWhenUsed/>
    <w:qFormat/>
    <w:uiPriority w:val="99"/>
    <w:pPr>
      <w:jc w:val="left"/>
    </w:pPr>
  </w:style>
  <w:style w:type="paragraph" w:styleId="14">
    <w:name w:val="Body Text"/>
    <w:basedOn w:val="1"/>
    <w:next w:val="1"/>
    <w:qFormat/>
    <w:uiPriority w:val="0"/>
    <w:pPr>
      <w:jc w:val="center"/>
    </w:pPr>
    <w:rPr>
      <w:rFonts w:ascii="Times New Roman" w:hAnsi="Times New Roman" w:eastAsia="仿宋_GB2312" w:cs="Times New Roman"/>
      <w:b/>
      <w:bCs/>
      <w:sz w:val="44"/>
      <w:szCs w:val="24"/>
    </w:rPr>
  </w:style>
  <w:style w:type="paragraph" w:styleId="15">
    <w:name w:val="Balloon Text"/>
    <w:basedOn w:val="1"/>
    <w:link w:val="48"/>
    <w:semiHidden/>
    <w:unhideWhenUsed/>
    <w:qFormat/>
    <w:uiPriority w:val="99"/>
    <w:rPr>
      <w:sz w:val="18"/>
      <w:szCs w:val="18"/>
    </w:rPr>
  </w:style>
  <w:style w:type="paragraph" w:styleId="16">
    <w:name w:val="footer"/>
    <w:basedOn w:val="1"/>
    <w:link w:val="45"/>
    <w:unhideWhenUsed/>
    <w:qFormat/>
    <w:uiPriority w:val="99"/>
    <w:pPr>
      <w:tabs>
        <w:tab w:val="center" w:pos="4153"/>
        <w:tab w:val="right" w:pos="8306"/>
      </w:tabs>
      <w:snapToGrid w:val="0"/>
      <w:jc w:val="left"/>
    </w:pPr>
    <w:rPr>
      <w:sz w:val="18"/>
      <w:szCs w:val="18"/>
    </w:rPr>
  </w:style>
  <w:style w:type="paragraph" w:styleId="17">
    <w:name w:val="header"/>
    <w:basedOn w:val="1"/>
    <w:link w:val="44"/>
    <w:unhideWhenUsed/>
    <w:qFormat/>
    <w:uiPriority w:val="99"/>
    <w:pPr>
      <w:tabs>
        <w:tab w:val="center" w:pos="4153"/>
        <w:tab w:val="right" w:pos="8306"/>
      </w:tabs>
      <w:snapToGrid w:val="0"/>
      <w:jc w:val="center"/>
    </w:pPr>
    <w:rPr>
      <w:sz w:val="18"/>
      <w:szCs w:val="18"/>
    </w:rPr>
  </w:style>
  <w:style w:type="paragraph" w:styleId="18">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Body Text First Indent"/>
    <w:basedOn w:val="14"/>
    <w:next w:val="1"/>
    <w:qFormat/>
    <w:uiPriority w:val="0"/>
    <w:pPr>
      <w:ind w:firstLine="420" w:firstLineChars="100"/>
    </w:pPr>
  </w:style>
  <w:style w:type="character" w:styleId="24">
    <w:name w:val="annotation reference"/>
    <w:basedOn w:val="23"/>
    <w:semiHidden/>
    <w:unhideWhenUsed/>
    <w:qFormat/>
    <w:uiPriority w:val="99"/>
    <w:rPr>
      <w:sz w:val="21"/>
      <w:szCs w:val="21"/>
    </w:rPr>
  </w:style>
  <w:style w:type="paragraph" w:customStyle="1" w:styleId="25">
    <w:name w:val="正文文本首行缩进1"/>
    <w:basedOn w:val="14"/>
    <w:qFormat/>
    <w:uiPriority w:val="0"/>
    <w:pPr>
      <w:spacing w:line="500" w:lineRule="exact"/>
      <w:ind w:firstLine="420"/>
    </w:pPr>
    <w:rPr>
      <w:rFonts w:eastAsia="楷体_GB2312"/>
      <w:sz w:val="28"/>
      <w:szCs w:val="28"/>
    </w:rPr>
  </w:style>
  <w:style w:type="character" w:customStyle="1" w:styleId="26">
    <w:name w:val="标题 1 Char"/>
    <w:basedOn w:val="23"/>
    <w:link w:val="4"/>
    <w:qFormat/>
    <w:uiPriority w:val="9"/>
    <w:rPr>
      <w:rFonts w:asciiTheme="majorHAnsi" w:hAnsiTheme="majorHAnsi" w:eastAsiaTheme="majorEastAsia" w:cstheme="majorBidi"/>
      <w:color w:val="104862" w:themeColor="accent1" w:themeShade="BF"/>
      <w:sz w:val="48"/>
      <w:szCs w:val="48"/>
    </w:rPr>
  </w:style>
  <w:style w:type="character" w:customStyle="1" w:styleId="27">
    <w:name w:val="标题 2 Char"/>
    <w:basedOn w:val="23"/>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8">
    <w:name w:val="标题 3 Char"/>
    <w:basedOn w:val="23"/>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4 Char"/>
    <w:basedOn w:val="23"/>
    <w:link w:val="7"/>
    <w:semiHidden/>
    <w:qFormat/>
    <w:uiPriority w:val="9"/>
    <w:rPr>
      <w:rFonts w:cstheme="majorBidi"/>
      <w:color w:val="104862" w:themeColor="accent1" w:themeShade="BF"/>
      <w:sz w:val="28"/>
      <w:szCs w:val="28"/>
    </w:rPr>
  </w:style>
  <w:style w:type="character" w:customStyle="1" w:styleId="30">
    <w:name w:val="标题 5 Char"/>
    <w:basedOn w:val="23"/>
    <w:link w:val="8"/>
    <w:semiHidden/>
    <w:qFormat/>
    <w:uiPriority w:val="9"/>
    <w:rPr>
      <w:rFonts w:cstheme="majorBidi"/>
      <w:color w:val="104862" w:themeColor="accent1" w:themeShade="BF"/>
      <w:sz w:val="24"/>
      <w:szCs w:val="24"/>
    </w:rPr>
  </w:style>
  <w:style w:type="character" w:customStyle="1" w:styleId="31">
    <w:name w:val="标题 6 Char"/>
    <w:basedOn w:val="23"/>
    <w:link w:val="9"/>
    <w:semiHidden/>
    <w:qFormat/>
    <w:uiPriority w:val="9"/>
    <w:rPr>
      <w:rFonts w:cstheme="majorBidi"/>
      <w:b/>
      <w:bCs/>
      <w:color w:val="104862" w:themeColor="accent1" w:themeShade="BF"/>
    </w:rPr>
  </w:style>
  <w:style w:type="character" w:customStyle="1" w:styleId="32">
    <w:name w:val="标题 7 Char"/>
    <w:basedOn w:val="23"/>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Char"/>
    <w:basedOn w:val="23"/>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Char"/>
    <w:basedOn w:val="23"/>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Char"/>
    <w:basedOn w:val="23"/>
    <w:link w:val="20"/>
    <w:qFormat/>
    <w:uiPriority w:val="10"/>
    <w:rPr>
      <w:rFonts w:asciiTheme="majorHAnsi" w:hAnsiTheme="majorHAnsi" w:eastAsiaTheme="majorEastAsia" w:cstheme="majorBidi"/>
      <w:spacing w:val="-10"/>
      <w:kern w:val="28"/>
      <w:sz w:val="56"/>
      <w:szCs w:val="56"/>
    </w:rPr>
  </w:style>
  <w:style w:type="character" w:customStyle="1" w:styleId="36">
    <w:name w:val="副标题 Char"/>
    <w:basedOn w:val="23"/>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Char"/>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3"/>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Char"/>
    <w:basedOn w:val="23"/>
    <w:link w:val="41"/>
    <w:qFormat/>
    <w:uiPriority w:val="30"/>
    <w:rPr>
      <w:i/>
      <w:iCs/>
      <w:color w:val="104862" w:themeColor="accent1" w:themeShade="BF"/>
    </w:rPr>
  </w:style>
  <w:style w:type="character" w:customStyle="1" w:styleId="43">
    <w:name w:val="明显参考1"/>
    <w:basedOn w:val="23"/>
    <w:qFormat/>
    <w:uiPriority w:val="32"/>
    <w:rPr>
      <w:b/>
      <w:bCs/>
      <w:smallCaps/>
      <w:color w:val="104862" w:themeColor="accent1" w:themeShade="BF"/>
      <w:spacing w:val="5"/>
    </w:rPr>
  </w:style>
  <w:style w:type="character" w:customStyle="1" w:styleId="44">
    <w:name w:val="页眉 Char"/>
    <w:basedOn w:val="23"/>
    <w:link w:val="17"/>
    <w:qFormat/>
    <w:uiPriority w:val="99"/>
    <w:rPr>
      <w:sz w:val="18"/>
      <w:szCs w:val="18"/>
    </w:rPr>
  </w:style>
  <w:style w:type="character" w:customStyle="1" w:styleId="45">
    <w:name w:val="页脚 Char"/>
    <w:basedOn w:val="23"/>
    <w:link w:val="16"/>
    <w:qFormat/>
    <w:uiPriority w:val="99"/>
    <w:rPr>
      <w:sz w:val="18"/>
      <w:szCs w:val="18"/>
    </w:rPr>
  </w:style>
  <w:style w:type="paragraph" w:customStyle="1" w:styleId="46">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样式 55 10 磅"/>
    <w:qFormat/>
    <w:uiPriority w:val="0"/>
    <w:pPr>
      <w:widowControl w:val="0"/>
      <w:jc w:val="both"/>
    </w:pPr>
    <w:rPr>
      <w:rFonts w:ascii="等线" w:hAnsi="等线" w:eastAsia="等线" w:cs="宋体"/>
      <w:kern w:val="2"/>
      <w:sz w:val="21"/>
      <w:szCs w:val="22"/>
      <w:lang w:val="en-US" w:eastAsia="zh-CN" w:bidi="ug-CN"/>
    </w:rPr>
  </w:style>
  <w:style w:type="character" w:customStyle="1" w:styleId="48">
    <w:name w:val="批注框文本 Char"/>
    <w:basedOn w:val="23"/>
    <w:link w:val="15"/>
    <w:semiHidden/>
    <w:qFormat/>
    <w:uiPriority w:val="99"/>
    <w:rPr>
      <w:rFonts w:asciiTheme="minorHAnsi" w:hAnsiTheme="minorHAnsi" w:eastAsiaTheme="minorEastAsia" w:cstheme="minorBidi"/>
      <w:kern w:val="2"/>
      <w:sz w:val="18"/>
      <w:szCs w:val="18"/>
      <w14:ligatures w14:val="standardContextual"/>
    </w:rPr>
  </w:style>
  <w:style w:type="paragraph" w:customStyle="1" w:styleId="49">
    <w:name w:val="附件栏"/>
    <w:basedOn w:val="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2478</Words>
  <Characters>14129</Characters>
  <Lines>117</Lines>
  <Paragraphs>33</Paragraphs>
  <TotalTime>1</TotalTime>
  <ScaleCrop>false</ScaleCrop>
  <LinksUpToDate>false</LinksUpToDate>
  <CharactersWithSpaces>16574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2025-11-03T23:39:00Z</dcterms:created>
  <dc:creator>lang xu</dc:creator>
  <cp:lastModifiedBy>kylin</cp:lastModifiedBy>
  <cp:lastPrinted>2025-11-05T17:08:00Z</cp:lastPrinted>
  <dcterms:modified xsi:type="dcterms:W3CDTF">2025-12-12T12:45:50Z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