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7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附件3：评议细则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tbl>
      <w:tblPr>
        <w:tblStyle w:val="2"/>
        <w:tblW w:w="9275" w:type="dxa"/>
        <w:tblInd w:w="-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60"/>
        <w:gridCol w:w="2514"/>
        <w:gridCol w:w="50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76" w:leftChars="-37" w:hanging="2" w:hangingChars="1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  <w:t>评分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  <w:t>评分指标</w:t>
            </w:r>
          </w:p>
        </w:tc>
        <w:tc>
          <w:tcPr>
            <w:tcW w:w="5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  <w:t>评分细则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能力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组展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年度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国内线下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展会情况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（1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组展展会数量：0或1个不得分，2个得5分，3个得10分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4个以上得15分。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2024年度国内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展会江苏企业组展规模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小于20个展位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含折算光地面积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，不得分；20～29个展位，得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分；30～39个展位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含折算光地面积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，得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分；40个以上展位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（含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折算光地面积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，得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展位来源直接性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（6分）</w:t>
            </w:r>
          </w:p>
        </w:tc>
        <w:tc>
          <w:tcPr>
            <w:tcW w:w="5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与展会主办方签订有效合作协议，得6分；与展会代理方签订有效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合作协议，得3分；没有协议，不得分。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方案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shd w:val="clear" w:color="auto" w:fill="FFFFFF"/>
              </w:rPr>
              <w:t>55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专业性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（3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主要评估招展及宣传、组展流程、展期调研、展后回访等方面的专业程度。专业性强，得20～3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分；专业性一般，得10～19分；专业性较差，得0～9分。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计划组展规模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（1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1～9个展位，不得分；10～19个展位，得3分；20～39个展位，得8分；40个展位及以上，得10分。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财政资金拨付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5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综合比较各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参评单位承诺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关于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展会结束后财政补贴资金接收及向有关参展企业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安全、及时、足额拨付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方案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在财政补贴资金下达到承办单位账户后5个工作日内拨付，得10分；6~10个工作日拨付，得8分；11~30个工作日拨付，得5分；超过30个工作日拨付，得0~2分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增值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（15分）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本届拟提供的增值服务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5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组织企业考察当地市场，加1～3分；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帮助主办方组织省内采购商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，加1～4分；提供其他类别的增值服务，加1～3分。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上届已提供的增值服务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5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提供上届增值服务证明材料，根据活动内容和证明材料真实性，得1～5分。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598" w:leftChars="2" w:hanging="594" w:hangingChars="283"/>
        <w:jc w:val="left"/>
        <w:textAlignment w:val="auto"/>
        <w:outlineLvl w:val="9"/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ODdkODUxMmNkMWFmMDZkZTUxMjdhMzI4YjI5YWEifQ=="/>
    <w:docVar w:name="KSO_WPS_MARK_KEY" w:val="8048912e-8d51-4c3f-bb99-26bb28e7a387"/>
  </w:docVars>
  <w:rsids>
    <w:rsidRoot w:val="00000000"/>
    <w:rsid w:val="001A246D"/>
    <w:rsid w:val="02597140"/>
    <w:rsid w:val="079054B6"/>
    <w:rsid w:val="08C3717C"/>
    <w:rsid w:val="0E3B63D8"/>
    <w:rsid w:val="12EF2CE3"/>
    <w:rsid w:val="181E2FDE"/>
    <w:rsid w:val="1C18604D"/>
    <w:rsid w:val="1CBB6AAB"/>
    <w:rsid w:val="1D572C61"/>
    <w:rsid w:val="1E0F3D7B"/>
    <w:rsid w:val="233928DE"/>
    <w:rsid w:val="2388329E"/>
    <w:rsid w:val="2DDC2681"/>
    <w:rsid w:val="34EB4E3F"/>
    <w:rsid w:val="369C66C7"/>
    <w:rsid w:val="387A13FC"/>
    <w:rsid w:val="3B0F5092"/>
    <w:rsid w:val="3C2E2D55"/>
    <w:rsid w:val="3F4E7E3E"/>
    <w:rsid w:val="3FCB0ED1"/>
    <w:rsid w:val="42887DE2"/>
    <w:rsid w:val="432B15D7"/>
    <w:rsid w:val="449357D7"/>
    <w:rsid w:val="494E3517"/>
    <w:rsid w:val="4C3D15A4"/>
    <w:rsid w:val="501E45AC"/>
    <w:rsid w:val="506D5DC1"/>
    <w:rsid w:val="53C15FC6"/>
    <w:rsid w:val="5A404FAE"/>
    <w:rsid w:val="5C4D16AF"/>
    <w:rsid w:val="677F7D92"/>
    <w:rsid w:val="69FDCEEB"/>
    <w:rsid w:val="6A65493D"/>
    <w:rsid w:val="6CAC0AE4"/>
    <w:rsid w:val="6F7FD8CD"/>
    <w:rsid w:val="76DB0A02"/>
    <w:rsid w:val="7A4C278F"/>
    <w:rsid w:val="7DFE2E35"/>
    <w:rsid w:val="7E9F150E"/>
    <w:rsid w:val="B5FC2627"/>
    <w:rsid w:val="DF6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637</Characters>
  <Lines>0</Lines>
  <Paragraphs>0</Paragraphs>
  <TotalTime>2</TotalTime>
  <ScaleCrop>false</ScaleCrop>
  <LinksUpToDate>false</LinksUpToDate>
  <CharactersWithSpaces>654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2022-07-06T18:34:00Z</dcterms:created>
  <dc:creator>周一鸣.DESKTOP-THDRPFR</dc:creator>
  <cp:lastModifiedBy>kylin</cp:lastModifiedBy>
  <cp:lastPrinted>2023-07-01T23:10:00Z</cp:lastPrinted>
  <dcterms:modified xsi:type="dcterms:W3CDTF">2025-10-14T11:08:00Z</dcterms:modified>
  <dc:title>附件3：评议细则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8C5B312BAA9A4235BB4B6CE78EDA4B27</vt:lpwstr>
  </property>
</Properties>
</file>