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"https://www.jiangsu.gov.cn/jrobot/plugin/link/show.do?url=http:/doc.jiangsu.gov.cn/art/2022/11/29/art_78712_10691795.html&amp;q=%E4%B9%A6%E9%9D%A2%E8%AF%84%E5%AE%A1&amp;webid=42&amp;id=1_78712_10691795"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2023年绿色商场创建达标单位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spacing w:line="320" w:lineRule="exact"/>
        <w:ind w:firstLine="560"/>
        <w:rPr>
          <w:rFonts w:hint="eastAsia" w:ascii="仿宋" w:eastAsia="仿宋" w:cs="仿宋"/>
          <w:sz w:val="28"/>
          <w:szCs w:val="32"/>
        </w:rPr>
      </w:pP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南京名贯置业有限公司（龙湖南京六合天街）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南京金鹰商贸特惠中心有限公司（南京金鹰特惠中心）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无锡融创汇润商业管理有限公司（无锡融创茂）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无锡锡山八佰伴商业管理有限公司（无锡八佰伴中心）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徐州新城吾悦商业管理有限公司（徐州贾汪吾悦广场）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徐州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月星环球港商业管理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有限公司（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val="en-US" w:eastAsia="zh-CN"/>
        </w:rPr>
        <w:t>徐州淮海环球港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常州天宁吾悦商业管理有限公司（常州天宁吾悦广场）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苏州充橙商业管理有限公司（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苏州</w:t>
      </w:r>
      <w:r>
        <w:rPr>
          <w:rFonts w:hint="eastAsia" w:ascii="方正仿宋_GBK" w:hAnsi="方正仿宋_GBK" w:eastAsia="方正仿宋_GBK" w:cs="方正仿宋_GBK"/>
          <w:szCs w:val="32"/>
        </w:rPr>
        <w:t>新湖广场）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苏州高新金鹰商业广场有限公司（苏州金鹰购物中心）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启东市新城吾悦商业管理有限公司（启东吾悦广场）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南通映尚置业有限公司（南通印象城）</w:t>
      </w:r>
    </w:p>
    <w:p>
      <w:pPr>
        <w:spacing w:line="480" w:lineRule="exact"/>
        <w:ind w:firstLine="600"/>
        <w:rPr>
          <w:rFonts w:hint="eastAsia" w:ascii="方正仿宋_GBK" w:hAnsi="方正仿宋_GBK" w:eastAsia="方正仿宋_GBK" w:cs="方正仿宋_GBK"/>
          <w:spacing w:val="-10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Cs w:val="32"/>
        </w:rPr>
        <w:t>连云港海州新城吾悦商业管理有限公司（连云港海州吾悦广场）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淮安新城吾悦商业管理有限公司（淮安吾悦广场）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盐城市大丰区新城吾悦商业管理有限公司（大丰吾悦广场）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射阳吾悦商业管理有限公司（射阳吾悦广场）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盐城金鹰国际购物中心有限公司奥莱城（盐城金鹰奥莱城）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润欣房地产开发（扬州）有限公司（扬州万象汇）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扬州新城吾悦商业管理有限公司（扬州吾悦广场）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扬州市金鹰新城市商业运营有限公司（江都金鹰购物中心）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丹阳金鹰国际购物中心有限公司（丹阳金鹰购物中心）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泰州茂业置业有限公司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泰州茂业百货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泰州姜堰万达广场商业管理有限公司（泰州姜堰万达广场）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Cs w:val="32"/>
        </w:rPr>
        <w:t>沭阳润隆商业管理有限公司（沭阳中央商场）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0CCE"/>
    <w:rsid w:val="066B0CCE"/>
    <w:rsid w:val="23936C1D"/>
    <w:rsid w:val="23C75820"/>
    <w:rsid w:val="5B1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2023-12-22T08:42:00Z</dcterms:created>
  <dc:creator>RENPENG</dc:creator>
  <cp:lastModifiedBy>RENPENG</cp:lastModifiedBy>
  <dcterms:modified xsi:type="dcterms:W3CDTF">2023-12-25T08:49:16Z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