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b/>
          <w:sz w:val="56"/>
          <w:szCs w:val="56"/>
        </w:rPr>
      </w:pPr>
    </w:p>
    <w:p>
      <w:pPr>
        <w:snapToGrid w:val="0"/>
        <w:spacing w:line="360" w:lineRule="auto"/>
        <w:jc w:val="center"/>
        <w:rPr>
          <w:rFonts w:ascii="宋体" w:hAnsi="宋体"/>
          <w:b/>
          <w:sz w:val="56"/>
          <w:szCs w:val="56"/>
        </w:rPr>
      </w:pPr>
    </w:p>
    <w:p>
      <w:pPr>
        <w:snapToGrid w:val="0"/>
        <w:spacing w:line="360" w:lineRule="auto"/>
        <w:jc w:val="center"/>
        <w:rPr>
          <w:rFonts w:ascii="宋体" w:hAnsi="宋体"/>
          <w:b/>
          <w:sz w:val="56"/>
          <w:szCs w:val="56"/>
        </w:rPr>
      </w:pPr>
      <w:r>
        <w:rPr>
          <w:rFonts w:hint="eastAsia" w:ascii="宋体" w:hAnsi="宋体"/>
          <w:b/>
          <w:sz w:val="56"/>
          <w:szCs w:val="56"/>
        </w:rPr>
        <w:t>江苏省外商投资条例（草案）</w:t>
      </w:r>
    </w:p>
    <w:p>
      <w:pPr>
        <w:snapToGrid w:val="0"/>
        <w:spacing w:line="360" w:lineRule="auto"/>
        <w:jc w:val="center"/>
        <w:rPr>
          <w:rFonts w:hint="eastAsia" w:ascii="宋体" w:hAnsi="宋体" w:eastAsia="宋体"/>
          <w:b/>
          <w:sz w:val="36"/>
          <w:szCs w:val="36"/>
          <w:lang w:eastAsia="zh-CN"/>
        </w:rPr>
      </w:pPr>
      <w:r>
        <w:rPr>
          <w:rFonts w:hint="eastAsia" w:ascii="宋体" w:hAnsi="宋体"/>
          <w:b/>
          <w:sz w:val="56"/>
          <w:szCs w:val="56"/>
          <w:lang w:eastAsia="zh-CN"/>
        </w:rPr>
        <w:t>（征求意见稿</w:t>
      </w:r>
      <w:bookmarkStart w:id="10" w:name="_GoBack"/>
      <w:bookmarkEnd w:id="10"/>
      <w:r>
        <w:rPr>
          <w:rFonts w:hint="eastAsia" w:ascii="宋体" w:hAnsi="宋体"/>
          <w:b/>
          <w:sz w:val="56"/>
          <w:szCs w:val="56"/>
          <w:lang w:eastAsia="zh-CN"/>
        </w:rPr>
        <w:t>）</w:t>
      </w:r>
    </w:p>
    <w:p>
      <w:pPr>
        <w:snapToGrid w:val="0"/>
        <w:spacing w:line="360" w:lineRule="auto"/>
        <w:jc w:val="center"/>
        <w:rPr>
          <w:rFonts w:ascii="宋体" w:hAnsi="宋体"/>
          <w:b/>
          <w:sz w:val="36"/>
          <w:szCs w:val="36"/>
        </w:rPr>
      </w:pPr>
    </w:p>
    <w:p>
      <w:pPr>
        <w:pStyle w:val="5"/>
        <w:snapToGrid w:val="0"/>
        <w:spacing w:before="0" w:after="0" w:line="360" w:lineRule="auto"/>
        <w:jc w:val="center"/>
        <w:rPr>
          <w:sz w:val="32"/>
          <w:szCs w:val="32"/>
        </w:rPr>
      </w:pPr>
    </w:p>
    <w:p>
      <w:pPr>
        <w:pStyle w:val="5"/>
        <w:snapToGrid w:val="0"/>
        <w:spacing w:before="0" w:after="0" w:line="360" w:lineRule="auto"/>
        <w:rPr>
          <w:sz w:val="32"/>
          <w:szCs w:val="32"/>
        </w:rPr>
      </w:pPr>
    </w:p>
    <w:p>
      <w:pPr>
        <w:rPr>
          <w:sz w:val="32"/>
          <w:szCs w:val="32"/>
        </w:rPr>
      </w:pPr>
    </w:p>
    <w:p>
      <w:pPr>
        <w:pStyle w:val="2"/>
        <w:ind w:firstLine="320"/>
        <w:rPr>
          <w:sz w:val="32"/>
          <w:szCs w:val="32"/>
        </w:rPr>
      </w:pPr>
    </w:p>
    <w:p>
      <w:pPr>
        <w:pStyle w:val="2"/>
        <w:ind w:firstLine="320"/>
        <w:rPr>
          <w:sz w:val="32"/>
          <w:szCs w:val="32"/>
        </w:rPr>
      </w:pPr>
    </w:p>
    <w:p>
      <w:pPr>
        <w:pStyle w:val="2"/>
        <w:ind w:firstLine="402"/>
        <w:jc w:val="center"/>
        <w:rPr>
          <w:rFonts w:ascii="宋体" w:hAnsi="宋体"/>
          <w:b/>
          <w:sz w:val="40"/>
          <w:szCs w:val="40"/>
        </w:rPr>
      </w:pPr>
      <w:r>
        <w:rPr>
          <w:rFonts w:hint="eastAsia" w:ascii="宋体" w:hAnsi="宋体"/>
          <w:b/>
          <w:sz w:val="40"/>
          <w:szCs w:val="40"/>
        </w:rPr>
        <w:t>二零二二年九月</w:t>
      </w:r>
    </w:p>
    <w:p>
      <w:pPr>
        <w:pStyle w:val="2"/>
        <w:ind w:firstLine="320"/>
        <w:rPr>
          <w:sz w:val="32"/>
          <w:szCs w:val="32"/>
        </w:rPr>
      </w:pPr>
    </w:p>
    <w:p>
      <w:pPr>
        <w:pStyle w:val="2"/>
        <w:ind w:firstLine="320"/>
        <w:rPr>
          <w:sz w:val="32"/>
          <w:szCs w:val="32"/>
        </w:rPr>
      </w:pPr>
    </w:p>
    <w:p>
      <w:pPr>
        <w:pStyle w:val="2"/>
        <w:ind w:firstLine="320"/>
        <w:rPr>
          <w:sz w:val="32"/>
          <w:szCs w:val="32"/>
        </w:rPr>
      </w:pPr>
    </w:p>
    <w:p>
      <w:pPr>
        <w:pStyle w:val="2"/>
        <w:ind w:firstLine="320"/>
        <w:rPr>
          <w:sz w:val="32"/>
          <w:szCs w:val="32"/>
        </w:rPr>
      </w:pPr>
    </w:p>
    <w:p>
      <w:pPr>
        <w:pStyle w:val="2"/>
        <w:ind w:firstLine="320"/>
        <w:rPr>
          <w:sz w:val="32"/>
          <w:szCs w:val="32"/>
        </w:rPr>
      </w:pPr>
    </w:p>
    <w:p>
      <w:pPr>
        <w:pStyle w:val="5"/>
        <w:snapToGrid w:val="0"/>
        <w:spacing w:before="0" w:after="0" w:line="360" w:lineRule="auto"/>
        <w:rPr>
          <w:sz w:val="32"/>
          <w:szCs w:val="32"/>
        </w:rPr>
      </w:pPr>
    </w:p>
    <w:p>
      <w:pPr>
        <w:sectPr>
          <w:pgSz w:w="11906" w:h="16838"/>
          <w:pgMar w:top="1440" w:right="1800" w:bottom="1440" w:left="1800" w:header="851" w:footer="992" w:gutter="0"/>
          <w:pgNumType w:start="1"/>
          <w:cols w:space="425" w:num="1"/>
          <w:docGrid w:type="lines" w:linePitch="312" w:charSpace="0"/>
        </w:sectPr>
      </w:pPr>
    </w:p>
    <w:p>
      <w:pPr>
        <w:pStyle w:val="5"/>
        <w:snapToGrid w:val="0"/>
        <w:spacing w:before="0" w:after="0" w:line="360" w:lineRule="auto"/>
        <w:jc w:val="center"/>
        <w:rPr>
          <w:sz w:val="32"/>
          <w:szCs w:val="32"/>
        </w:rPr>
      </w:pPr>
      <w:r>
        <w:rPr>
          <w:rFonts w:hint="eastAsia"/>
          <w:sz w:val="32"/>
          <w:szCs w:val="32"/>
        </w:rPr>
        <w:t>目 录</w:t>
      </w:r>
    </w:p>
    <w:p>
      <w:pPr>
        <w:snapToGrid w:val="0"/>
        <w:spacing w:line="360" w:lineRule="auto"/>
        <w:ind w:firstLine="480" w:firstLineChars="200"/>
        <w:rPr>
          <w:rFonts w:ascii="宋体" w:hAnsi="宋体"/>
          <w:color w:val="000000"/>
          <w:sz w:val="24"/>
        </w:rPr>
      </w:pPr>
      <w:r>
        <w:rPr>
          <w:rFonts w:hint="eastAsia" w:ascii="宋体" w:hAnsi="宋体"/>
          <w:color w:val="000000"/>
          <w:sz w:val="24"/>
        </w:rPr>
        <w:t>第一章  总则</w:t>
      </w:r>
    </w:p>
    <w:p>
      <w:pPr>
        <w:snapToGrid w:val="0"/>
        <w:spacing w:line="360" w:lineRule="auto"/>
        <w:ind w:firstLine="480" w:firstLineChars="200"/>
        <w:rPr>
          <w:rFonts w:ascii="宋体" w:hAnsi="宋体"/>
          <w:color w:val="000000"/>
          <w:sz w:val="24"/>
        </w:rPr>
      </w:pPr>
      <w:r>
        <w:rPr>
          <w:rFonts w:hint="eastAsia" w:ascii="宋体" w:hAnsi="宋体"/>
          <w:color w:val="000000"/>
          <w:sz w:val="24"/>
        </w:rPr>
        <w:t>第二章  投资促进</w:t>
      </w:r>
    </w:p>
    <w:p>
      <w:pPr>
        <w:snapToGrid w:val="0"/>
        <w:spacing w:line="360" w:lineRule="auto"/>
        <w:ind w:firstLine="480" w:firstLineChars="200"/>
        <w:rPr>
          <w:rFonts w:ascii="宋体" w:hAnsi="宋体"/>
          <w:color w:val="000000"/>
          <w:sz w:val="24"/>
        </w:rPr>
      </w:pPr>
      <w:r>
        <w:rPr>
          <w:rFonts w:hint="eastAsia" w:ascii="宋体" w:hAnsi="宋体"/>
          <w:color w:val="000000"/>
          <w:sz w:val="24"/>
        </w:rPr>
        <w:t>第三章  投资保护</w:t>
      </w:r>
    </w:p>
    <w:p>
      <w:pPr>
        <w:snapToGrid w:val="0"/>
        <w:spacing w:line="360" w:lineRule="auto"/>
        <w:ind w:firstLine="480" w:firstLineChars="200"/>
        <w:rPr>
          <w:rFonts w:ascii="宋体" w:hAnsi="宋体"/>
          <w:color w:val="000000"/>
          <w:sz w:val="24"/>
        </w:rPr>
      </w:pPr>
      <w:r>
        <w:rPr>
          <w:rFonts w:hint="eastAsia" w:ascii="宋体" w:hAnsi="宋体"/>
          <w:color w:val="000000"/>
          <w:sz w:val="24"/>
        </w:rPr>
        <w:t>第四章  投资管理</w:t>
      </w:r>
    </w:p>
    <w:p>
      <w:pPr>
        <w:snapToGrid w:val="0"/>
        <w:spacing w:line="360" w:lineRule="auto"/>
        <w:ind w:firstLine="480" w:firstLineChars="200"/>
        <w:rPr>
          <w:sz w:val="32"/>
          <w:szCs w:val="32"/>
        </w:rPr>
      </w:pPr>
      <w:r>
        <w:rPr>
          <w:rFonts w:hint="eastAsia" w:ascii="宋体" w:hAnsi="宋体"/>
          <w:color w:val="000000"/>
          <w:sz w:val="24"/>
        </w:rPr>
        <w:t>第五章  附则</w:t>
      </w:r>
    </w:p>
    <w:p>
      <w:pPr>
        <w:pStyle w:val="5"/>
        <w:snapToGrid w:val="0"/>
        <w:spacing w:before="0" w:after="0" w:line="360" w:lineRule="auto"/>
        <w:jc w:val="center"/>
        <w:rPr>
          <w:sz w:val="32"/>
          <w:szCs w:val="32"/>
        </w:rPr>
      </w:pPr>
    </w:p>
    <w:p>
      <w:pPr>
        <w:pStyle w:val="5"/>
        <w:snapToGrid w:val="0"/>
        <w:spacing w:before="0" w:after="0" w:line="360" w:lineRule="auto"/>
        <w:jc w:val="center"/>
        <w:rPr>
          <w:rFonts w:ascii="宋体" w:hAnsi="宋体"/>
          <w:color w:val="000000"/>
          <w:sz w:val="24"/>
          <w:szCs w:val="24"/>
        </w:rPr>
      </w:pPr>
      <w:r>
        <w:rPr>
          <w:rFonts w:hint="eastAsia"/>
          <w:sz w:val="32"/>
          <w:szCs w:val="32"/>
        </w:rPr>
        <w:t>第一章  总 则</w:t>
      </w:r>
    </w:p>
    <w:p>
      <w:pPr>
        <w:snapToGrid w:val="0"/>
        <w:spacing w:line="360" w:lineRule="auto"/>
        <w:ind w:firstLine="481" w:firstLineChars="200"/>
      </w:pPr>
      <w:r>
        <w:rPr>
          <w:rFonts w:hint="eastAsia" w:ascii="宋体" w:hAnsi="宋体"/>
          <w:b/>
          <w:bCs/>
          <w:color w:val="000000"/>
          <w:sz w:val="24"/>
        </w:rPr>
        <w:t>第一条 （立法目的）</w:t>
      </w:r>
      <w:r>
        <w:rPr>
          <w:rFonts w:hint="eastAsia" w:ascii="宋体" w:hAnsi="宋体"/>
          <w:color w:val="000000"/>
          <w:sz w:val="24"/>
        </w:rPr>
        <w:t>为了进一步推进本省更高水平对外开放，积极促进外商投资，保护外商投资合法权益，规范外商投资管理，根据《</w:t>
      </w:r>
      <w:r>
        <w:fldChar w:fldCharType="begin"/>
      </w:r>
      <w:r>
        <w:instrText xml:space="preserve"> HYPERLINK "https://www.pkulaw.com/chl/6a88714068b3724dbdfb.html" </w:instrText>
      </w:r>
      <w:r>
        <w:fldChar w:fldCharType="separate"/>
      </w:r>
      <w:r>
        <w:rPr>
          <w:rFonts w:hint="eastAsia" w:ascii="宋体" w:hAnsi="宋体"/>
          <w:color w:val="000000"/>
          <w:sz w:val="24"/>
        </w:rPr>
        <w:t>中华人民共和国外商投资法</w:t>
      </w:r>
      <w:r>
        <w:rPr>
          <w:rFonts w:hint="eastAsia" w:ascii="宋体" w:hAnsi="宋体"/>
          <w:color w:val="000000"/>
          <w:sz w:val="24"/>
        </w:rPr>
        <w:fldChar w:fldCharType="end"/>
      </w:r>
      <w:r>
        <w:rPr>
          <w:rFonts w:hint="eastAsia" w:ascii="宋体" w:hAnsi="宋体"/>
          <w:color w:val="000000"/>
          <w:sz w:val="24"/>
        </w:rPr>
        <w:t>》《</w:t>
      </w:r>
      <w:r>
        <w:fldChar w:fldCharType="begin"/>
      </w:r>
      <w:r>
        <w:instrText xml:space="preserve"> HYPERLINK "https://www.pkulaw.com/chl/bb7e08ee6f9a35f4bdfb.html" </w:instrText>
      </w:r>
      <w:r>
        <w:fldChar w:fldCharType="separate"/>
      </w:r>
      <w:r>
        <w:rPr>
          <w:rFonts w:hint="eastAsia" w:ascii="宋体" w:hAnsi="宋体"/>
          <w:color w:val="000000"/>
          <w:sz w:val="24"/>
        </w:rPr>
        <w:t>中华人民共和国外商投资法实施条例</w:t>
      </w:r>
      <w:r>
        <w:rPr>
          <w:rFonts w:hint="eastAsia" w:ascii="宋体" w:hAnsi="宋体"/>
          <w:color w:val="000000"/>
          <w:sz w:val="24"/>
        </w:rPr>
        <w:fldChar w:fldCharType="end"/>
      </w:r>
      <w:r>
        <w:rPr>
          <w:rFonts w:hint="eastAsia" w:ascii="宋体" w:hAnsi="宋体"/>
          <w:color w:val="000000"/>
          <w:sz w:val="24"/>
        </w:rPr>
        <w:t>》等法律、行政法规的规定，结合本省实际，制定本条例。</w:t>
      </w:r>
    </w:p>
    <w:p>
      <w:pPr>
        <w:snapToGrid w:val="0"/>
        <w:spacing w:line="360" w:lineRule="auto"/>
        <w:ind w:firstLine="481" w:firstLineChars="200"/>
        <w:rPr>
          <w:rFonts w:ascii="宋体" w:hAnsi="宋体"/>
          <w:color w:val="000000"/>
          <w:sz w:val="24"/>
        </w:rPr>
      </w:pPr>
      <w:r>
        <w:rPr>
          <w:rFonts w:hint="eastAsia" w:ascii="宋体" w:hAnsi="宋体"/>
          <w:b/>
          <w:bCs/>
          <w:color w:val="000000"/>
          <w:sz w:val="24"/>
        </w:rPr>
        <w:t>第二条 （适用范围）</w:t>
      </w:r>
      <w:r>
        <w:rPr>
          <w:rFonts w:hint="eastAsia" w:ascii="宋体" w:hAnsi="宋体"/>
          <w:color w:val="000000"/>
          <w:sz w:val="24"/>
        </w:rPr>
        <w:t>本条例适用于本省行政区域内的外商投资及其促进、保护、管理工作。</w:t>
      </w:r>
    </w:p>
    <w:p>
      <w:pPr>
        <w:snapToGrid w:val="0"/>
        <w:spacing w:line="360" w:lineRule="auto"/>
        <w:ind w:firstLine="481" w:firstLineChars="200"/>
        <w:rPr>
          <w:rFonts w:ascii="宋体" w:hAnsi="宋体"/>
          <w:color w:val="000000"/>
          <w:sz w:val="24"/>
        </w:rPr>
      </w:pPr>
      <w:r>
        <w:rPr>
          <w:rFonts w:hint="eastAsia" w:ascii="宋体" w:hAnsi="宋体"/>
          <w:b/>
          <w:bCs/>
          <w:color w:val="000000"/>
          <w:sz w:val="24"/>
        </w:rPr>
        <w:t>第三条 （基本原则）</w:t>
      </w:r>
      <w:r>
        <w:rPr>
          <w:rFonts w:hint="eastAsia" w:ascii="宋体" w:hAnsi="宋体"/>
          <w:color w:val="000000"/>
          <w:sz w:val="24"/>
        </w:rPr>
        <w:t>本省遵循市场化、法治化、国际化原则，全面落实外商投资国民待遇，建立和完善外商投资促进、保护机制，规范投资管理，营造稳定、透明、可预期和公平竞争的市场环境，推动全方位高水平对外开放。</w:t>
      </w:r>
    </w:p>
    <w:p>
      <w:pPr>
        <w:snapToGrid w:val="0"/>
        <w:spacing w:line="360" w:lineRule="auto"/>
        <w:ind w:firstLine="481" w:firstLineChars="200"/>
        <w:rPr>
          <w:rFonts w:ascii="宋体" w:hAnsi="宋体"/>
          <w:color w:val="000000"/>
          <w:sz w:val="24"/>
        </w:rPr>
      </w:pPr>
      <w:r>
        <w:rPr>
          <w:rFonts w:hint="eastAsia" w:ascii="宋体" w:hAnsi="宋体"/>
          <w:b/>
          <w:bCs/>
          <w:color w:val="000000"/>
          <w:sz w:val="24"/>
        </w:rPr>
        <w:t>第四条 （国民待遇与负面清单管理）</w:t>
      </w:r>
      <w:r>
        <w:rPr>
          <w:rFonts w:hint="eastAsia" w:ascii="宋体" w:hAnsi="宋体"/>
          <w:color w:val="000000"/>
          <w:sz w:val="24"/>
        </w:rPr>
        <w:t>本省按照国家规定对外商投资实行准入前国民待遇加负面清单管理制度，对外商投资准入负面清单之外的领域，按照内外资一致原则实施管理。</w:t>
      </w:r>
    </w:p>
    <w:p>
      <w:pPr>
        <w:snapToGrid w:val="0"/>
        <w:spacing w:line="360" w:lineRule="auto"/>
        <w:ind w:firstLine="481" w:firstLineChars="200"/>
        <w:rPr>
          <w:rFonts w:ascii="宋体" w:hAnsi="宋体"/>
          <w:color w:val="FF0000"/>
          <w:sz w:val="24"/>
        </w:rPr>
      </w:pPr>
      <w:r>
        <w:rPr>
          <w:rFonts w:hint="eastAsia" w:ascii="宋体" w:hAnsi="宋体"/>
          <w:b/>
          <w:bCs/>
          <w:color w:val="000000"/>
          <w:sz w:val="24"/>
        </w:rPr>
        <w:t>第五条 （政府职责）</w:t>
      </w:r>
      <w:r>
        <w:rPr>
          <w:rFonts w:hint="eastAsia" w:ascii="宋体" w:hAnsi="宋体"/>
          <w:color w:val="000000"/>
          <w:sz w:val="24"/>
        </w:rPr>
        <w:t>县级以上地方</w:t>
      </w:r>
      <w:r>
        <w:rPr>
          <w:rFonts w:ascii="宋体" w:hAnsi="宋体"/>
          <w:color w:val="000000"/>
          <w:sz w:val="24"/>
        </w:rPr>
        <w:t>人民政府应当加强对外商投资工作的组织领导、统筹推进，</w:t>
      </w:r>
      <w:r>
        <w:rPr>
          <w:rFonts w:hint="eastAsia" w:ascii="宋体" w:hAnsi="宋体"/>
          <w:color w:val="000000"/>
          <w:sz w:val="24"/>
        </w:rPr>
        <w:t>在法定权限内制定</w:t>
      </w:r>
      <w:r>
        <w:rPr>
          <w:rFonts w:ascii="宋体" w:hAnsi="宋体"/>
          <w:color w:val="000000"/>
          <w:sz w:val="24"/>
        </w:rPr>
        <w:t>外商投资促进和便利化政策措施，建立健全与外商投资有关的议事协调机制，及时协调、解决外商投资工作中的</w:t>
      </w:r>
      <w:r>
        <w:rPr>
          <w:rFonts w:hint="eastAsia" w:ascii="宋体" w:hAnsi="宋体"/>
          <w:color w:val="FF0000"/>
          <w:sz w:val="24"/>
        </w:rPr>
        <w:t>相关</w:t>
      </w:r>
      <w:r>
        <w:rPr>
          <w:rFonts w:ascii="宋体" w:hAnsi="宋体"/>
          <w:color w:val="FF0000"/>
          <w:sz w:val="24"/>
        </w:rPr>
        <w:t>问题。</w:t>
      </w:r>
    </w:p>
    <w:p>
      <w:pPr>
        <w:snapToGrid w:val="0"/>
        <w:spacing w:line="360" w:lineRule="auto"/>
        <w:ind w:firstLine="480" w:firstLineChars="200"/>
        <w:rPr>
          <w:rFonts w:ascii="宋体" w:hAnsi="宋体"/>
          <w:color w:val="000000"/>
          <w:sz w:val="24"/>
        </w:rPr>
      </w:pPr>
      <w:r>
        <w:rPr>
          <w:rFonts w:ascii="宋体" w:hAnsi="宋体"/>
          <w:color w:val="000000"/>
          <w:sz w:val="24"/>
        </w:rPr>
        <w:t>县级以上</w:t>
      </w:r>
      <w:r>
        <w:rPr>
          <w:rFonts w:hint="eastAsia" w:ascii="宋体" w:hAnsi="宋体"/>
          <w:color w:val="000000"/>
          <w:sz w:val="24"/>
        </w:rPr>
        <w:t>地方</w:t>
      </w:r>
      <w:r>
        <w:rPr>
          <w:rFonts w:ascii="宋体" w:hAnsi="宋体"/>
          <w:color w:val="000000"/>
          <w:sz w:val="24"/>
        </w:rPr>
        <w:t>人民政府商务</w:t>
      </w:r>
      <w:r>
        <w:rPr>
          <w:rFonts w:hint="eastAsia" w:ascii="宋体" w:hAnsi="宋体"/>
          <w:color w:val="000000"/>
          <w:sz w:val="24"/>
        </w:rPr>
        <w:t>主管部门、投资主管</w:t>
      </w:r>
      <w:r>
        <w:rPr>
          <w:rFonts w:ascii="宋体" w:hAnsi="宋体"/>
          <w:color w:val="000000"/>
          <w:sz w:val="24"/>
        </w:rPr>
        <w:t>部门</w:t>
      </w:r>
      <w:r>
        <w:rPr>
          <w:rFonts w:hint="eastAsia" w:ascii="宋体" w:hAnsi="宋体"/>
          <w:color w:val="000000"/>
          <w:sz w:val="24"/>
        </w:rPr>
        <w:t>以及其他相关部门按照职责分工，</w:t>
      </w:r>
      <w:r>
        <w:rPr>
          <w:rFonts w:ascii="宋体" w:hAnsi="宋体"/>
          <w:color w:val="000000"/>
          <w:sz w:val="24"/>
        </w:rPr>
        <w:t>负责外商投资促进、保护、管理和服务工作</w:t>
      </w:r>
      <w:r>
        <w:rPr>
          <w:rFonts w:hint="eastAsia" w:ascii="宋体" w:hAnsi="宋体"/>
          <w:color w:val="000000"/>
          <w:sz w:val="24"/>
        </w:rPr>
        <w:t>。商务主管部门</w:t>
      </w:r>
      <w:r>
        <w:rPr>
          <w:rFonts w:ascii="宋体" w:hAnsi="宋体"/>
          <w:color w:val="000000"/>
          <w:sz w:val="24"/>
        </w:rPr>
        <w:t>牵头协调外商投资权益保护中跨</w:t>
      </w:r>
      <w:r>
        <w:rPr>
          <w:rFonts w:hint="eastAsia" w:ascii="宋体" w:hAnsi="宋体"/>
          <w:color w:val="000000"/>
          <w:sz w:val="24"/>
        </w:rPr>
        <w:t>部门</w:t>
      </w:r>
      <w:r>
        <w:rPr>
          <w:rFonts w:ascii="宋体" w:hAnsi="宋体"/>
          <w:color w:val="000000"/>
          <w:sz w:val="24"/>
        </w:rPr>
        <w:t>、跨</w:t>
      </w:r>
      <w:r>
        <w:rPr>
          <w:rFonts w:hint="eastAsia" w:ascii="宋体" w:hAnsi="宋体"/>
          <w:color w:val="000000"/>
          <w:sz w:val="24"/>
        </w:rPr>
        <w:t>区域</w:t>
      </w:r>
      <w:r>
        <w:rPr>
          <w:rFonts w:ascii="宋体" w:hAnsi="宋体"/>
          <w:color w:val="000000"/>
          <w:sz w:val="24"/>
        </w:rPr>
        <w:t>问题</w:t>
      </w:r>
      <w:r>
        <w:rPr>
          <w:rFonts w:hint="eastAsia" w:ascii="宋体" w:hAnsi="宋体"/>
          <w:color w:val="000000"/>
          <w:sz w:val="24"/>
        </w:rPr>
        <w:t>并及时将处理结果向外国投资者、外商投资企业反馈。</w:t>
      </w:r>
    </w:p>
    <w:p>
      <w:pPr>
        <w:snapToGrid w:val="0"/>
        <w:spacing w:line="360" w:lineRule="auto"/>
        <w:ind w:firstLine="481" w:firstLineChars="200"/>
      </w:pPr>
      <w:r>
        <w:rPr>
          <w:rFonts w:hint="eastAsia" w:ascii="宋体" w:hAnsi="宋体"/>
          <w:b/>
          <w:bCs/>
          <w:color w:val="000000"/>
          <w:sz w:val="24"/>
        </w:rPr>
        <w:t>第六条 （工会）</w:t>
      </w:r>
      <w:r>
        <w:rPr>
          <w:rFonts w:hint="eastAsia" w:ascii="宋体" w:hAnsi="宋体"/>
          <w:color w:val="000000"/>
          <w:sz w:val="24"/>
        </w:rPr>
        <w:t>外商投资企业职工依法建立工会组织，开展工会活动。外商投资企业应当为本企业工会提供必要的活动条件。</w:t>
      </w:r>
    </w:p>
    <w:p>
      <w:pPr>
        <w:pStyle w:val="2"/>
        <w:spacing w:after="0" w:line="360" w:lineRule="auto"/>
        <w:ind w:firstLine="481" w:firstLineChars="0"/>
        <w:rPr>
          <w:rFonts w:ascii="宋体" w:hAnsi="宋体"/>
          <w:color w:val="000000"/>
          <w:sz w:val="24"/>
        </w:rPr>
      </w:pPr>
    </w:p>
    <w:p>
      <w:pPr>
        <w:pStyle w:val="5"/>
        <w:snapToGrid w:val="0"/>
        <w:spacing w:before="0" w:after="0" w:line="360" w:lineRule="auto"/>
        <w:jc w:val="center"/>
        <w:rPr>
          <w:rFonts w:ascii="宋体" w:hAnsi="宋体" w:cs="宋体"/>
          <w:b w:val="0"/>
          <w:bCs w:val="0"/>
          <w:color w:val="000000"/>
          <w:sz w:val="24"/>
          <w:szCs w:val="24"/>
        </w:rPr>
      </w:pPr>
      <w:r>
        <w:rPr>
          <w:rFonts w:hint="eastAsia" w:ascii="宋体" w:hAnsi="宋体" w:cs="宋体"/>
          <w:sz w:val="32"/>
          <w:szCs w:val="32"/>
        </w:rPr>
        <w:t>第二章   投资促进</w:t>
      </w:r>
    </w:p>
    <w:p>
      <w:pPr>
        <w:spacing w:line="360" w:lineRule="auto"/>
        <w:ind w:firstLine="481" w:firstLineChars="200"/>
        <w:rPr>
          <w:rFonts w:ascii="宋体" w:hAnsi="宋体" w:cs="宋体"/>
          <w:color w:val="000000"/>
          <w:sz w:val="24"/>
        </w:rPr>
      </w:pPr>
      <w:r>
        <w:rPr>
          <w:rFonts w:hint="eastAsia" w:ascii="宋体" w:hAnsi="宋体" w:cs="宋体"/>
          <w:b/>
          <w:bCs/>
          <w:color w:val="000000"/>
          <w:sz w:val="24"/>
        </w:rPr>
        <w:t>第七条 （平等适用及透明度）</w:t>
      </w:r>
      <w:r>
        <w:rPr>
          <w:rFonts w:hint="eastAsia" w:ascii="宋体" w:hAnsi="宋体" w:cs="宋体"/>
          <w:color w:val="000000"/>
          <w:sz w:val="24"/>
        </w:rPr>
        <w:t>外商投资企业依法平等适用国家和本省支持企业发展的各项政策。各级地方人民政府及其有关部门在权限范围内制定的支持企业发展的政策应当依法公开。</w:t>
      </w:r>
    </w:p>
    <w:p>
      <w:pPr>
        <w:spacing w:line="360" w:lineRule="auto"/>
        <w:ind w:firstLine="480" w:firstLineChars="200"/>
        <w:rPr>
          <w:rFonts w:ascii="宋体" w:hAnsi="宋体" w:cs="宋体"/>
          <w:color w:val="000000"/>
          <w:sz w:val="24"/>
        </w:rPr>
      </w:pPr>
      <w:r>
        <w:rPr>
          <w:rFonts w:hint="eastAsia" w:ascii="宋体" w:hAnsi="宋体" w:cs="宋体"/>
          <w:color w:val="000000"/>
          <w:sz w:val="24"/>
        </w:rPr>
        <w:t>政府及其有关部门应当统一政策实施标准。对实施中需要由企业申请办理的事项，应当在政府网站、服务窗口等显著位置公开申请办理的条件、流程、时限等，并在审核中依法平等对待外商投资企业和内资企业。</w:t>
      </w:r>
    </w:p>
    <w:p>
      <w:pPr>
        <w:shd w:val="clear" w:color="auto" w:fill="FFFFFF"/>
        <w:spacing w:line="360" w:lineRule="auto"/>
        <w:ind w:firstLine="481" w:firstLineChars="200"/>
        <w:rPr>
          <w:color w:val="333333"/>
          <w:sz w:val="24"/>
        </w:rPr>
      </w:pPr>
      <w:r>
        <w:rPr>
          <w:rFonts w:hint="eastAsia"/>
          <w:b/>
          <w:bCs/>
          <w:color w:val="333333"/>
          <w:sz w:val="24"/>
        </w:rPr>
        <w:t>第八条 （平等参与政府采购）</w:t>
      </w:r>
      <w:r>
        <w:rPr>
          <w:color w:val="333333"/>
          <w:sz w:val="24"/>
        </w:rPr>
        <w:t>外商投资企业</w:t>
      </w:r>
      <w:r>
        <w:rPr>
          <w:rFonts w:hint="eastAsia"/>
          <w:color w:val="333333"/>
          <w:sz w:val="24"/>
        </w:rPr>
        <w:t>依法享有通过公平竞争参与政府采购的权利。</w:t>
      </w:r>
    </w:p>
    <w:p>
      <w:pPr>
        <w:shd w:val="clear" w:color="auto" w:fill="FFFFFF"/>
        <w:spacing w:line="360" w:lineRule="auto"/>
        <w:ind w:firstLine="480" w:firstLineChars="200"/>
        <w:rPr>
          <w:color w:val="333333"/>
          <w:sz w:val="24"/>
        </w:rPr>
      </w:pPr>
      <w:r>
        <w:rPr>
          <w:color w:val="333333"/>
          <w:sz w:val="24"/>
        </w:rPr>
        <w:t>在政府采购信息发布、供应商条件确定、评标标准等方面，不得对外商投资企业实行差别待遇或者歧视待遇，不得限定供应商的所有制形式、组织形式、股权结构或者投资者国别，以及产品或者服务品牌等，不得对外商投资企业在中国境内生产的产品、提供的服务和内资企业</w:t>
      </w:r>
      <w:r>
        <w:rPr>
          <w:rFonts w:hint="eastAsia"/>
          <w:color w:val="333333"/>
          <w:sz w:val="24"/>
        </w:rPr>
        <w:t>的产品、服务</w:t>
      </w:r>
      <w:r>
        <w:rPr>
          <w:color w:val="333333"/>
          <w:sz w:val="24"/>
        </w:rPr>
        <w:t>区别对待。</w:t>
      </w:r>
    </w:p>
    <w:p>
      <w:pPr>
        <w:shd w:val="clear" w:color="auto" w:fill="FFFFFF"/>
        <w:spacing w:line="360" w:lineRule="auto"/>
        <w:ind w:firstLine="481" w:firstLineChars="200"/>
        <w:rPr>
          <w:color w:val="333333"/>
          <w:sz w:val="24"/>
        </w:rPr>
      </w:pPr>
      <w:r>
        <w:rPr>
          <w:rFonts w:hint="eastAsia"/>
          <w:b/>
          <w:bCs/>
          <w:color w:val="333333"/>
          <w:sz w:val="24"/>
        </w:rPr>
        <w:t>第九条 （平等参与标准制定）</w:t>
      </w:r>
      <w:r>
        <w:rPr>
          <w:color w:val="333333"/>
          <w:sz w:val="24"/>
        </w:rPr>
        <w:t>外商投资企业依法</w:t>
      </w:r>
      <w:r>
        <w:rPr>
          <w:rFonts w:hint="eastAsia"/>
          <w:color w:val="333333"/>
          <w:sz w:val="24"/>
        </w:rPr>
        <w:t>享有</w:t>
      </w:r>
      <w:r>
        <w:rPr>
          <w:color w:val="333333"/>
          <w:sz w:val="24"/>
        </w:rPr>
        <w:t>平等参与</w:t>
      </w:r>
      <w:r>
        <w:rPr>
          <w:rFonts w:hint="eastAsia"/>
          <w:color w:val="333333"/>
          <w:sz w:val="24"/>
        </w:rPr>
        <w:t>本省地方标准的制定的权利。鼓励外商投资企业参与</w:t>
      </w:r>
      <w:r>
        <w:rPr>
          <w:color w:val="333333"/>
          <w:sz w:val="24"/>
        </w:rPr>
        <w:t>国家标准、行业标准和团体标准的制定、修订工作，参加各类专业标准化技术委员会的活动。</w:t>
      </w:r>
    </w:p>
    <w:p>
      <w:pPr>
        <w:shd w:val="clear" w:color="auto" w:fill="FFFFFF"/>
        <w:spacing w:line="360" w:lineRule="auto"/>
        <w:ind w:firstLine="480"/>
        <w:rPr>
          <w:color w:val="333333"/>
          <w:sz w:val="24"/>
        </w:rPr>
      </w:pPr>
      <w:r>
        <w:rPr>
          <w:rFonts w:hint="eastAsia"/>
          <w:color w:val="333333"/>
          <w:sz w:val="24"/>
        </w:rPr>
        <w:t>省、设区的市</w:t>
      </w:r>
      <w:r>
        <w:rPr>
          <w:color w:val="333333"/>
          <w:sz w:val="24"/>
        </w:rPr>
        <w:t>人民政府标准化行政主管部门制定、修订与外商投资企业生产经营密切相关的地方标准，应当充分听取外商投资企业的意见</w:t>
      </w:r>
      <w:r>
        <w:rPr>
          <w:rFonts w:hint="eastAsia"/>
          <w:color w:val="333333"/>
          <w:sz w:val="24"/>
        </w:rPr>
        <w:t>，并推进地方标准制定、修订全过程信息公开，为外商投资企业参与地方标准起草、翻译以及国际化合作等提供便利和指导。</w:t>
      </w:r>
    </w:p>
    <w:p>
      <w:pPr>
        <w:shd w:val="clear" w:color="auto" w:fill="FFFFFF"/>
        <w:spacing w:line="360" w:lineRule="auto"/>
        <w:ind w:firstLine="480" w:firstLineChars="200"/>
        <w:rPr>
          <w:color w:val="333333"/>
          <w:sz w:val="24"/>
        </w:rPr>
      </w:pPr>
      <w:r>
        <w:rPr>
          <w:rFonts w:hint="eastAsia"/>
          <w:color w:val="333333"/>
          <w:sz w:val="24"/>
        </w:rPr>
        <w:t>禁止利用标准实施妨碍外商投资企业参与公平竞争的行为。</w:t>
      </w:r>
    </w:p>
    <w:p>
      <w:pPr>
        <w:shd w:val="clear" w:color="auto" w:fill="FFFFFF"/>
        <w:spacing w:line="360" w:lineRule="auto"/>
        <w:ind w:firstLine="481" w:firstLineChars="200"/>
        <w:rPr>
          <w:color w:val="333333"/>
          <w:sz w:val="24"/>
        </w:rPr>
      </w:pPr>
      <w:r>
        <w:rPr>
          <w:b/>
          <w:bCs/>
          <w:color w:val="333333"/>
          <w:sz w:val="24"/>
        </w:rPr>
        <w:t>第十条 （对接国家立法）</w:t>
      </w:r>
      <w:r>
        <w:rPr>
          <w:color w:val="333333"/>
          <w:sz w:val="24"/>
        </w:rPr>
        <w:t>本省推进从商品和要素流动型开放向规则、规制、管理、标准等制度型开放</w:t>
      </w:r>
      <w:r>
        <w:rPr>
          <w:rFonts w:hint="eastAsia"/>
          <w:color w:val="333333"/>
          <w:sz w:val="24"/>
        </w:rPr>
        <w:t>进程</w:t>
      </w:r>
      <w:r>
        <w:rPr>
          <w:color w:val="333333"/>
          <w:sz w:val="24"/>
        </w:rPr>
        <w:t>。对扩大开放领域需要国家层面立法保障的，应当加强与国家有关部门的沟通，</w:t>
      </w:r>
      <w:r>
        <w:rPr>
          <w:rFonts w:hint="eastAsia"/>
          <w:color w:val="333333"/>
          <w:sz w:val="24"/>
        </w:rPr>
        <w:t>为</w:t>
      </w:r>
      <w:r>
        <w:rPr>
          <w:color w:val="333333"/>
          <w:sz w:val="24"/>
        </w:rPr>
        <w:t>有关法律、行政法规、国务院决定以及部门规章等进行调整适</w:t>
      </w:r>
      <w:r>
        <w:rPr>
          <w:rFonts w:hint="eastAsia"/>
          <w:color w:val="333333"/>
          <w:sz w:val="24"/>
        </w:rPr>
        <w:t>用提供积极</w:t>
      </w:r>
      <w:r>
        <w:rPr>
          <w:color w:val="333333"/>
          <w:sz w:val="24"/>
        </w:rPr>
        <w:t>建议</w:t>
      </w:r>
      <w:r>
        <w:rPr>
          <w:rFonts w:hint="eastAsia"/>
          <w:color w:val="333333"/>
          <w:sz w:val="24"/>
        </w:rPr>
        <w:t>。</w:t>
      </w:r>
    </w:p>
    <w:p>
      <w:pPr>
        <w:shd w:val="clear" w:color="auto" w:fill="FFFFFF"/>
        <w:spacing w:line="360" w:lineRule="auto"/>
        <w:ind w:firstLine="481" w:firstLineChars="200"/>
        <w:rPr>
          <w:color w:val="333333"/>
          <w:sz w:val="24"/>
        </w:rPr>
      </w:pPr>
      <w:r>
        <w:rPr>
          <w:rFonts w:hint="eastAsia" w:ascii="宋体" w:hAnsi="宋体"/>
          <w:b/>
          <w:bCs/>
          <w:color w:val="000000"/>
          <w:sz w:val="24"/>
        </w:rPr>
        <w:t>第十一条 （自贸试验区先行先试）</w:t>
      </w:r>
      <w:r>
        <w:rPr>
          <w:rFonts w:hint="eastAsia" w:ascii="宋体" w:hAnsi="宋体"/>
          <w:color w:val="000000"/>
          <w:sz w:val="24"/>
        </w:rPr>
        <w:t>充分发挥中国（江苏）自由贸易试验区（以下简称江苏自贸试验区）先行先试作用，对标国际先进经贸规则，根据国家部署</w:t>
      </w:r>
      <w:r>
        <w:rPr>
          <w:rFonts w:hint="eastAsia"/>
          <w:color w:val="333333"/>
          <w:sz w:val="24"/>
        </w:rPr>
        <w:t>探索实行外商投资试验性政策措施，积累可复制可推广经验。</w:t>
      </w:r>
    </w:p>
    <w:p>
      <w:pPr>
        <w:numPr>
          <w:ilvl w:val="255"/>
          <w:numId w:val="0"/>
        </w:numPr>
        <w:shd w:val="clear" w:color="auto" w:fill="FFFFFF"/>
        <w:spacing w:line="360" w:lineRule="auto"/>
        <w:ind w:firstLine="480" w:firstLineChars="200"/>
        <w:rPr>
          <w:color w:val="333333"/>
          <w:sz w:val="24"/>
        </w:rPr>
      </w:pPr>
      <w:r>
        <w:rPr>
          <w:rFonts w:hint="eastAsia" w:ascii="宋体" w:hAnsi="宋体" w:cs="宋体"/>
          <w:color w:val="333333"/>
          <w:sz w:val="24"/>
          <w:shd w:val="clear" w:color="auto" w:fill="FFFFFF"/>
        </w:rPr>
        <w:t>江苏自贸试验区在国家《自由贸易试验区外商投资准入特别管理措施（负面清单）》开放措施的基础上，可以在授权范围内的更多领域试点取消或放宽外资准入限制。</w:t>
      </w:r>
    </w:p>
    <w:p>
      <w:pPr>
        <w:numPr>
          <w:ilvl w:val="255"/>
          <w:numId w:val="0"/>
        </w:numPr>
        <w:shd w:val="clear" w:color="auto" w:fill="FFFFFF"/>
        <w:spacing w:line="360" w:lineRule="auto"/>
        <w:ind w:firstLine="480" w:firstLineChars="200"/>
        <w:rPr>
          <w:color w:val="333333"/>
          <w:sz w:val="24"/>
        </w:rPr>
      </w:pPr>
      <w:r>
        <w:rPr>
          <w:rFonts w:hint="eastAsia"/>
          <w:color w:val="333333"/>
          <w:sz w:val="24"/>
        </w:rPr>
        <w:t>外商投资试验性政策措施可以在自贸试验区以外更大地域范围内适用，但国家明确仅适用于自贸试验区的除外。</w:t>
      </w:r>
    </w:p>
    <w:p>
      <w:pPr>
        <w:widowControl/>
        <w:numPr>
          <w:ilvl w:val="0"/>
          <w:numId w:val="1"/>
        </w:numPr>
        <w:shd w:val="clear" w:color="auto" w:fill="FFFFFF"/>
        <w:spacing w:line="360" w:lineRule="auto"/>
        <w:ind w:firstLine="481" w:firstLineChars="200"/>
        <w:jc w:val="left"/>
        <w:rPr>
          <w:sz w:val="24"/>
        </w:rPr>
      </w:pPr>
      <w:r>
        <w:rPr>
          <w:rFonts w:hint="eastAsia"/>
          <w:b/>
          <w:bCs/>
          <w:color w:val="333333"/>
          <w:sz w:val="24"/>
        </w:rPr>
        <w:t>（全域自贸经济功能联动）</w:t>
      </w:r>
      <w:r>
        <w:rPr>
          <w:rFonts w:hint="eastAsia"/>
          <w:color w:val="333333"/>
          <w:sz w:val="24"/>
        </w:rPr>
        <w:t>江苏自贸试验区南京片区、苏州片区、连云港片区应当根据各自的功能定位开展差别化探索，并推进与开发区、合作园区等各类开放平台的资源要素共享和联动改革创新。</w:t>
      </w:r>
    </w:p>
    <w:p>
      <w:pPr>
        <w:shd w:val="clear" w:color="auto" w:fill="FFFFFF"/>
        <w:spacing w:line="360" w:lineRule="auto"/>
        <w:ind w:firstLine="481" w:firstLineChars="200"/>
      </w:pPr>
      <w:r>
        <w:rPr>
          <w:rFonts w:hint="eastAsia" w:cs="宋体"/>
          <w:b/>
          <w:bCs/>
          <w:color w:val="000000"/>
          <w:sz w:val="24"/>
          <w:shd w:val="clear" w:color="auto" w:fill="FFFFFF"/>
          <w:lang w:bidi="ar"/>
        </w:rPr>
        <w:t>第十三条 （跨省域合作）</w:t>
      </w:r>
      <w:r>
        <w:rPr>
          <w:rFonts w:hint="eastAsia" w:cs="宋体"/>
          <w:color w:val="000000"/>
          <w:sz w:val="24"/>
          <w:shd w:val="clear" w:color="auto" w:fill="FFFFFF"/>
          <w:lang w:bidi="ar"/>
        </w:rPr>
        <w:t>省人民政府以及有关部门应当按照长三角区域一体化发展、长江经济带发展等国家战略要求，加强跨省域合作，</w:t>
      </w:r>
      <w:r>
        <w:rPr>
          <w:rFonts w:hint="eastAsia" w:ascii="宋体" w:hAnsi="宋体" w:cs="宋体"/>
          <w:color w:val="000000"/>
          <w:sz w:val="24"/>
          <w:lang w:bidi="ar"/>
        </w:rPr>
        <w:t>增强开放联动效应，协同推进重点领域对外开放，共建产业创新平台和投资促进服务体系。</w:t>
      </w:r>
    </w:p>
    <w:p>
      <w:pPr>
        <w:shd w:val="clear" w:color="auto" w:fill="FFFFFF"/>
        <w:spacing w:line="360" w:lineRule="auto"/>
        <w:ind w:firstLine="481" w:firstLineChars="200"/>
        <w:rPr>
          <w:rFonts w:ascii="宋体" w:hAnsi="宋体" w:cs="宋体"/>
          <w:sz w:val="24"/>
        </w:rPr>
      </w:pPr>
      <w:r>
        <w:rPr>
          <w:rFonts w:hint="eastAsia"/>
          <w:b/>
          <w:bCs/>
          <w:color w:val="333333"/>
          <w:sz w:val="24"/>
          <w:lang w:eastAsia="zh-Hans"/>
        </w:rPr>
        <w:t>第</w:t>
      </w:r>
      <w:r>
        <w:rPr>
          <w:rFonts w:hint="eastAsia"/>
          <w:b/>
          <w:bCs/>
          <w:color w:val="333333"/>
          <w:sz w:val="24"/>
        </w:rPr>
        <w:t>十四</w:t>
      </w:r>
      <w:r>
        <w:rPr>
          <w:rFonts w:hint="eastAsia"/>
          <w:b/>
          <w:bCs/>
          <w:color w:val="333333"/>
          <w:sz w:val="24"/>
          <w:lang w:eastAsia="zh-Hans"/>
        </w:rPr>
        <w:t xml:space="preserve">条 </w:t>
      </w:r>
      <w:r>
        <w:rPr>
          <w:rFonts w:hint="eastAsia"/>
          <w:b/>
          <w:bCs/>
          <w:color w:val="333333"/>
          <w:sz w:val="24"/>
        </w:rPr>
        <w:t>（</w:t>
      </w:r>
      <w:r>
        <w:rPr>
          <w:rFonts w:hint="eastAsia"/>
          <w:b/>
          <w:bCs/>
          <w:color w:val="333333"/>
          <w:sz w:val="24"/>
          <w:lang w:eastAsia="zh-Hans"/>
        </w:rPr>
        <w:t>产业引导</w:t>
      </w:r>
      <w:r>
        <w:rPr>
          <w:rFonts w:hint="eastAsia"/>
          <w:b/>
          <w:bCs/>
          <w:color w:val="333333"/>
          <w:sz w:val="24"/>
        </w:rPr>
        <w:t>和</w:t>
      </w:r>
      <w:r>
        <w:rPr>
          <w:rFonts w:hint="eastAsia"/>
          <w:b/>
          <w:bCs/>
          <w:sz w:val="24"/>
        </w:rPr>
        <w:t>重点项目服务</w:t>
      </w:r>
      <w:r>
        <w:rPr>
          <w:rFonts w:hint="eastAsia"/>
          <w:b/>
          <w:bCs/>
          <w:color w:val="333333"/>
          <w:sz w:val="24"/>
        </w:rPr>
        <w:t>）</w:t>
      </w:r>
      <w:r>
        <w:rPr>
          <w:rFonts w:hint="eastAsia" w:ascii="宋体" w:hAnsi="宋体"/>
          <w:color w:val="000000"/>
          <w:sz w:val="24"/>
        </w:rPr>
        <w:t>鼓励和引导外国投资者在国家《</w:t>
      </w:r>
      <w:r>
        <w:fldChar w:fldCharType="begin"/>
      </w:r>
      <w:r>
        <w:instrText xml:space="preserve"> HYPERLINK "https://www.pkulaw.com/chl/2e6fab8549042788bdfb.html" </w:instrText>
      </w:r>
      <w:r>
        <w:fldChar w:fldCharType="separate"/>
      </w:r>
      <w:r>
        <w:rPr>
          <w:rFonts w:hint="eastAsia" w:ascii="宋体" w:hAnsi="宋体"/>
          <w:color w:val="000000"/>
          <w:sz w:val="24"/>
        </w:rPr>
        <w:t>鼓励外商投资产业目录</w:t>
      </w:r>
      <w:r>
        <w:rPr>
          <w:rFonts w:hint="eastAsia" w:ascii="宋体" w:hAnsi="宋体"/>
          <w:color w:val="000000"/>
          <w:sz w:val="24"/>
        </w:rPr>
        <w:fldChar w:fldCharType="end"/>
      </w:r>
      <w:r>
        <w:rPr>
          <w:rFonts w:hint="eastAsia" w:ascii="宋体" w:hAnsi="宋体"/>
          <w:color w:val="000000"/>
          <w:sz w:val="24"/>
        </w:rPr>
        <w:t>》和本省重点发展领域内进行投资，引导外资参与本省制造业集群、</w:t>
      </w:r>
      <w:r>
        <w:rPr>
          <w:rFonts w:ascii="宋体" w:hAnsi="宋体" w:cs="宋体"/>
          <w:sz w:val="24"/>
        </w:rPr>
        <w:t>优势产业链</w:t>
      </w:r>
      <w:r>
        <w:rPr>
          <w:rFonts w:hint="eastAsia" w:ascii="宋体" w:hAnsi="宋体"/>
          <w:color w:val="000000"/>
          <w:sz w:val="24"/>
        </w:rPr>
        <w:t>建设。</w:t>
      </w:r>
    </w:p>
    <w:p>
      <w:pPr>
        <w:tabs>
          <w:tab w:val="left" w:pos="0"/>
        </w:tabs>
        <w:spacing w:line="360" w:lineRule="auto"/>
        <w:ind w:firstLine="480" w:firstLineChars="200"/>
        <w:rPr>
          <w:lang w:eastAsia="zh-Hans"/>
        </w:rPr>
      </w:pPr>
      <w:r>
        <w:rPr>
          <w:rFonts w:hint="eastAsia"/>
          <w:bCs/>
          <w:sz w:val="24"/>
        </w:rPr>
        <w:t>支持本省各地建立重点外资项目服务机制，</w:t>
      </w:r>
      <w:r>
        <w:rPr>
          <w:rFonts w:ascii="宋体" w:hAnsi="宋体" w:cs="宋体"/>
          <w:sz w:val="24"/>
        </w:rPr>
        <w:t>在</w:t>
      </w:r>
      <w:r>
        <w:rPr>
          <w:rFonts w:hint="eastAsia" w:ascii="宋体" w:hAnsi="宋体" w:cs="宋体"/>
          <w:sz w:val="24"/>
        </w:rPr>
        <w:t>特色</w:t>
      </w:r>
      <w:r>
        <w:rPr>
          <w:rFonts w:ascii="宋体" w:hAnsi="宋体" w:cs="宋体"/>
          <w:sz w:val="24"/>
        </w:rPr>
        <w:t>领域加快重大项目推进</w:t>
      </w:r>
      <w:r>
        <w:rPr>
          <w:rFonts w:hint="eastAsia" w:ascii="宋体" w:hAnsi="宋体" w:cs="宋体"/>
          <w:sz w:val="24"/>
        </w:rPr>
        <w:t>、</w:t>
      </w:r>
      <w:r>
        <w:rPr>
          <w:rFonts w:ascii="宋体" w:hAnsi="宋体" w:cs="宋体"/>
          <w:sz w:val="24"/>
        </w:rPr>
        <w:t>引进培育全产业链配套型企业</w:t>
      </w:r>
      <w:r>
        <w:rPr>
          <w:rFonts w:hint="eastAsia" w:ascii="宋体" w:hAnsi="宋体" w:cs="宋体"/>
          <w:sz w:val="24"/>
        </w:rPr>
        <w:t>，</w:t>
      </w:r>
      <w:r>
        <w:rPr>
          <w:rFonts w:hint="eastAsia"/>
          <w:sz w:val="24"/>
        </w:rPr>
        <w:t>统筹推进各项事务，加强全流程跟踪服务，加大用地、用能、环评审批等要素保障力度，推动项目早签约、早落地、早投产。</w:t>
      </w:r>
    </w:p>
    <w:p>
      <w:pPr>
        <w:spacing w:line="360" w:lineRule="auto"/>
        <w:ind w:firstLine="480"/>
        <w:rPr>
          <w:rFonts w:ascii="宋体" w:hAnsi="宋体" w:cs="宋体"/>
          <w:sz w:val="24"/>
        </w:rPr>
      </w:pPr>
      <w:r>
        <w:rPr>
          <w:rStyle w:val="16"/>
          <w:rFonts w:hint="eastAsia" w:ascii="宋体" w:hAnsi="宋体" w:cs="宋体"/>
          <w:color w:val="000000"/>
          <w:sz w:val="24"/>
          <w:lang w:eastAsia="zh-Hans"/>
        </w:rPr>
        <w:t>第十</w:t>
      </w:r>
      <w:r>
        <w:rPr>
          <w:rStyle w:val="16"/>
          <w:rFonts w:hint="eastAsia" w:ascii="宋体" w:hAnsi="宋体" w:cs="宋体"/>
          <w:color w:val="000000"/>
          <w:sz w:val="24"/>
        </w:rPr>
        <w:t>五</w:t>
      </w:r>
      <w:r>
        <w:rPr>
          <w:rStyle w:val="16"/>
          <w:rFonts w:hint="eastAsia" w:ascii="宋体" w:hAnsi="宋体" w:cs="宋体"/>
          <w:color w:val="000000"/>
          <w:sz w:val="24"/>
          <w:lang w:eastAsia="zh-Hans"/>
        </w:rPr>
        <w:t>条</w:t>
      </w:r>
      <w:r>
        <w:rPr>
          <w:rStyle w:val="16"/>
          <w:rFonts w:hint="eastAsia" w:ascii="宋体" w:hAnsi="宋体" w:cs="宋体"/>
          <w:color w:val="000000"/>
          <w:sz w:val="24"/>
        </w:rPr>
        <w:t xml:space="preserve"> （地区总部和鼓励研发）</w:t>
      </w:r>
      <w:r>
        <w:rPr>
          <w:rStyle w:val="16"/>
          <w:rFonts w:hint="eastAsia" w:ascii="宋体" w:hAnsi="宋体" w:cs="宋体"/>
          <w:b w:val="0"/>
          <w:bCs w:val="0"/>
          <w:sz w:val="24"/>
        </w:rPr>
        <w:t>鼓</w:t>
      </w:r>
      <w:r>
        <w:rPr>
          <w:rFonts w:hint="eastAsia" w:ascii="宋体" w:hAnsi="宋体" w:cs="宋体"/>
          <w:sz w:val="24"/>
        </w:rPr>
        <w:t>励跨国公司在本省设立地区总部和功能性机构，进一步集聚发展、提升能级，促进国际先进技术成果转移转化。</w:t>
      </w:r>
    </w:p>
    <w:p>
      <w:pPr>
        <w:spacing w:line="360" w:lineRule="auto"/>
        <w:ind w:firstLine="480" w:firstLineChars="200"/>
        <w:rPr>
          <w:rFonts w:ascii="宋体" w:hAnsi="宋体" w:cs="宋体"/>
          <w:sz w:val="24"/>
        </w:rPr>
      </w:pPr>
      <w:r>
        <w:rPr>
          <w:rFonts w:hint="eastAsia" w:ascii="宋体" w:hAnsi="宋体" w:cs="宋体"/>
          <w:sz w:val="24"/>
        </w:rPr>
        <w:t>建立省级外资总部企业培育库，鼓励重点外资企业加快转型升级。</w:t>
      </w:r>
    </w:p>
    <w:p>
      <w:pPr>
        <w:spacing w:line="360" w:lineRule="auto"/>
        <w:ind w:firstLine="480" w:firstLineChars="200"/>
        <w:rPr>
          <w:rFonts w:ascii="宋体" w:hAnsi="宋体" w:cs="宋体"/>
          <w:sz w:val="24"/>
        </w:rPr>
      </w:pPr>
      <w:r>
        <w:rPr>
          <w:rFonts w:hint="eastAsia" w:ascii="宋体" w:hAnsi="宋体" w:cs="宋体"/>
          <w:sz w:val="24"/>
        </w:rPr>
        <w:t>在外资总部经济发展较为成熟的区域认定一批外资总部经济集聚区，支持在外资总部经济集聚区内建立总部经济服务中心，聚焦于为总部企业提供便利化服务。</w:t>
      </w:r>
    </w:p>
    <w:p>
      <w:pPr>
        <w:shd w:val="clear" w:color="auto" w:fill="FFFFFF"/>
        <w:spacing w:line="360" w:lineRule="auto"/>
        <w:ind w:firstLine="480" w:firstLineChars="200"/>
        <w:rPr>
          <w:rFonts w:ascii="宋体" w:hAnsi="宋体" w:cs="宋体"/>
          <w:sz w:val="24"/>
        </w:rPr>
      </w:pPr>
      <w:r>
        <w:rPr>
          <w:rFonts w:hint="eastAsia" w:ascii="宋体" w:hAnsi="宋体" w:cs="宋体"/>
          <w:color w:val="000000"/>
          <w:sz w:val="24"/>
        </w:rPr>
        <w:t>支持外商投资企业建设研发中心、企业技术中心，并升级为全球或区域研发中心。本省应当为外资研发中心在参与政府科研计划项目、研发用品进口、报检资质审批、信用提升及分类管理、研发成果产业化等方面提供便利。</w:t>
      </w:r>
    </w:p>
    <w:p>
      <w:pPr>
        <w:spacing w:line="360" w:lineRule="auto"/>
        <w:ind w:firstLine="481" w:firstLineChars="200"/>
        <w:rPr>
          <w:rFonts w:ascii="宋体" w:hAnsi="宋体" w:cs="宋体"/>
          <w:sz w:val="24"/>
        </w:rPr>
      </w:pPr>
      <w:r>
        <w:rPr>
          <w:rFonts w:hint="eastAsia" w:ascii="宋体" w:hAnsi="宋体" w:cs="宋体"/>
          <w:b/>
          <w:bCs/>
          <w:sz w:val="24"/>
          <w:lang w:eastAsia="zh-Hans"/>
        </w:rPr>
        <w:t>第十</w:t>
      </w:r>
      <w:r>
        <w:rPr>
          <w:rFonts w:hint="eastAsia" w:ascii="宋体" w:hAnsi="宋体" w:cs="宋体"/>
          <w:b/>
          <w:bCs/>
          <w:sz w:val="24"/>
        </w:rPr>
        <w:t>六</w:t>
      </w:r>
      <w:r>
        <w:rPr>
          <w:rFonts w:hint="eastAsia" w:ascii="宋体" w:hAnsi="宋体" w:cs="宋体"/>
          <w:b/>
          <w:bCs/>
          <w:sz w:val="24"/>
          <w:lang w:eastAsia="zh-Hans"/>
        </w:rPr>
        <w:t>条</w:t>
      </w:r>
      <w:r>
        <w:rPr>
          <w:rFonts w:hint="eastAsia" w:ascii="宋体" w:hAnsi="宋体" w:cs="宋体"/>
          <w:b/>
          <w:bCs/>
          <w:sz w:val="24"/>
        </w:rPr>
        <w:t xml:space="preserve"> （鼓</w:t>
      </w:r>
      <w:r>
        <w:rPr>
          <w:rFonts w:hint="eastAsia" w:ascii="宋体" w:hAnsi="宋体" w:cs="宋体"/>
          <w:b/>
          <w:bCs/>
          <w:sz w:val="24"/>
          <w:lang w:eastAsia="zh-Hans"/>
        </w:rPr>
        <w:t>励再投资</w:t>
      </w:r>
      <w:r>
        <w:rPr>
          <w:rFonts w:hint="eastAsia" w:ascii="宋体" w:hAnsi="宋体" w:cs="宋体"/>
          <w:b/>
          <w:bCs/>
          <w:sz w:val="24"/>
        </w:rPr>
        <w:t>）</w:t>
      </w:r>
      <w:r>
        <w:rPr>
          <w:rFonts w:hint="eastAsia" w:ascii="宋体" w:hAnsi="宋体" w:cs="宋体"/>
          <w:sz w:val="24"/>
        </w:rPr>
        <w:t>鼓励外商投资企业依法在境内进行再投资。</w:t>
      </w:r>
    </w:p>
    <w:p>
      <w:pPr>
        <w:spacing w:line="360" w:lineRule="auto"/>
        <w:ind w:firstLine="480"/>
        <w:rPr>
          <w:rFonts w:ascii="宋体" w:hAnsi="宋体" w:cs="宋体"/>
          <w:color w:val="000000"/>
          <w:sz w:val="24"/>
          <w:highlight w:val="yellow"/>
        </w:rPr>
      </w:pPr>
      <w:r>
        <w:rPr>
          <w:rFonts w:hint="eastAsia" w:ascii="宋体" w:hAnsi="宋体" w:cs="宋体"/>
          <w:color w:val="000000"/>
          <w:sz w:val="24"/>
        </w:rPr>
        <w:t>发挥政府的统筹引导作用，引导外商投资企业利润再投资向高端制造、智能制造、绿色制造和生产性服务业等重点产业投入。</w:t>
      </w:r>
    </w:p>
    <w:p>
      <w:pPr>
        <w:spacing w:line="360" w:lineRule="auto"/>
        <w:ind w:firstLine="480"/>
      </w:pPr>
      <w:r>
        <w:rPr>
          <w:rFonts w:hint="eastAsia" w:ascii="宋体" w:hAnsi="宋体" w:cs="宋体"/>
          <w:color w:val="000000"/>
          <w:sz w:val="24"/>
        </w:rPr>
        <w:t>加强再投资项目要素保障、政策宣传落实、经验总结推广，稳固和拓展产业链，加快转型升级，促进外资提质升效。</w:t>
      </w:r>
    </w:p>
    <w:p>
      <w:pPr>
        <w:spacing w:line="360" w:lineRule="auto"/>
        <w:ind w:firstLine="481" w:firstLineChars="200"/>
        <w:rPr>
          <w:rFonts w:ascii="宋体" w:hAnsi="宋体" w:cs="宋体"/>
          <w:color w:val="000000"/>
          <w:sz w:val="24"/>
        </w:rPr>
      </w:pPr>
      <w:r>
        <w:rPr>
          <w:rStyle w:val="16"/>
          <w:rFonts w:hint="eastAsia" w:ascii="宋体" w:hAnsi="宋体" w:cs="宋体"/>
          <w:color w:val="000000"/>
          <w:sz w:val="24"/>
        </w:rPr>
        <w:t>第</w:t>
      </w:r>
      <w:r>
        <w:rPr>
          <w:rStyle w:val="16"/>
          <w:rFonts w:hint="eastAsia" w:ascii="宋体" w:hAnsi="宋体" w:cs="宋体"/>
          <w:color w:val="000000"/>
          <w:sz w:val="24"/>
          <w:lang w:eastAsia="zh-Hans"/>
        </w:rPr>
        <w:t>十</w:t>
      </w:r>
      <w:r>
        <w:rPr>
          <w:rStyle w:val="16"/>
          <w:rFonts w:hint="eastAsia" w:ascii="宋体" w:hAnsi="宋体" w:cs="宋体"/>
          <w:color w:val="000000"/>
          <w:sz w:val="24"/>
        </w:rPr>
        <w:t>七条</w:t>
      </w:r>
      <w:bookmarkStart w:id="0" w:name="tiao_15_kuan_1"/>
      <w:bookmarkEnd w:id="0"/>
      <w:r>
        <w:rPr>
          <w:rStyle w:val="16"/>
          <w:rFonts w:hint="eastAsia" w:ascii="宋体" w:hAnsi="宋体" w:cs="宋体"/>
          <w:color w:val="000000"/>
          <w:sz w:val="24"/>
        </w:rPr>
        <w:t xml:space="preserve"> （</w:t>
      </w:r>
      <w:r>
        <w:rPr>
          <w:rFonts w:hint="eastAsia" w:ascii="宋体" w:hAnsi="宋体" w:cs="宋体"/>
          <w:b/>
          <w:bCs/>
          <w:sz w:val="24"/>
          <w:lang w:eastAsia="zh-Hans"/>
        </w:rPr>
        <w:t>促进服务体制</w:t>
      </w:r>
      <w:r>
        <w:rPr>
          <w:rStyle w:val="16"/>
          <w:rFonts w:hint="eastAsia" w:ascii="宋体" w:hAnsi="宋体" w:cs="宋体"/>
          <w:color w:val="000000"/>
          <w:sz w:val="24"/>
        </w:rPr>
        <w:t>）</w:t>
      </w:r>
      <w:r>
        <w:rPr>
          <w:rStyle w:val="16"/>
          <w:rFonts w:hint="eastAsia" w:ascii="宋体" w:hAnsi="宋体" w:cs="宋体"/>
          <w:b w:val="0"/>
          <w:bCs w:val="0"/>
          <w:color w:val="000000"/>
          <w:sz w:val="24"/>
        </w:rPr>
        <w:t>鼓励县级以上地方人民政府建立健全</w:t>
      </w:r>
      <w:r>
        <w:rPr>
          <w:rFonts w:hint="eastAsia" w:ascii="宋体" w:hAnsi="宋体" w:cs="宋体"/>
          <w:color w:val="000000"/>
          <w:sz w:val="24"/>
        </w:rPr>
        <w:t>外商投资促进服务体系，为外商投资提供</w:t>
      </w:r>
      <w:r>
        <w:rPr>
          <w:rFonts w:hint="eastAsia" w:ascii="宋体" w:hAnsi="宋体" w:cs="宋体"/>
          <w:color w:val="000000"/>
          <w:sz w:val="24"/>
          <w:lang w:eastAsia="zh-Hans"/>
        </w:rPr>
        <w:t>便利化</w:t>
      </w:r>
      <w:r>
        <w:rPr>
          <w:rFonts w:hint="eastAsia" w:ascii="宋体" w:hAnsi="宋体" w:cs="宋体"/>
          <w:color w:val="000000"/>
          <w:sz w:val="24"/>
        </w:rPr>
        <w:t>的投资促进服务。</w:t>
      </w:r>
    </w:p>
    <w:p>
      <w:pPr>
        <w:shd w:val="clear" w:color="auto" w:fill="FFFFFF"/>
        <w:spacing w:line="360" w:lineRule="auto"/>
        <w:ind w:firstLine="481" w:firstLineChars="200"/>
        <w:rPr>
          <w:color w:val="333333"/>
          <w:sz w:val="24"/>
        </w:rPr>
      </w:pPr>
      <w:r>
        <w:rPr>
          <w:rFonts w:hint="eastAsia"/>
          <w:b/>
          <w:bCs/>
          <w:color w:val="333333"/>
          <w:sz w:val="24"/>
        </w:rPr>
        <w:t>第十八条 （政企沟通机制）</w:t>
      </w:r>
      <w:r>
        <w:rPr>
          <w:rFonts w:hint="eastAsia"/>
          <w:color w:val="333333"/>
          <w:sz w:val="24"/>
        </w:rPr>
        <w:t>建立健全与外商投资企业的政企沟通机制。</w:t>
      </w:r>
    </w:p>
    <w:p>
      <w:pPr>
        <w:shd w:val="clear" w:color="auto" w:fill="FFFFFF"/>
        <w:spacing w:line="360" w:lineRule="auto"/>
        <w:ind w:firstLine="480" w:firstLineChars="200"/>
        <w:rPr>
          <w:rFonts w:ascii="宋体" w:hAnsi="宋体"/>
          <w:color w:val="000000"/>
          <w:sz w:val="24"/>
        </w:rPr>
      </w:pPr>
      <w:r>
        <w:rPr>
          <w:rFonts w:hint="eastAsia"/>
          <w:color w:val="333333"/>
          <w:sz w:val="24"/>
        </w:rPr>
        <w:t>各级地方人民政府及其有关部门应当采用走访、问卷调查、网络意见征询、</w:t>
      </w:r>
      <w:r>
        <w:rPr>
          <w:rFonts w:hint="eastAsia"/>
          <w:sz w:val="24"/>
        </w:rPr>
        <w:t>召开座谈会</w:t>
      </w:r>
      <w:r>
        <w:rPr>
          <w:rFonts w:hint="eastAsia"/>
          <w:color w:val="333333"/>
          <w:sz w:val="24"/>
        </w:rPr>
        <w:t>等多种方式，加强与外商投资企业面对面沟通交流，听取外商投资企业意见建议，及时了解并帮助企业解决</w:t>
      </w:r>
      <w:r>
        <w:rPr>
          <w:rFonts w:hint="eastAsia" w:ascii="宋体" w:hAnsi="宋体"/>
          <w:color w:val="000000"/>
          <w:sz w:val="24"/>
        </w:rPr>
        <w:t>问题，研究完善相关政策措施。</w:t>
      </w:r>
    </w:p>
    <w:p>
      <w:pPr>
        <w:shd w:val="clear" w:color="auto" w:fill="FFFFFF"/>
        <w:spacing w:line="360" w:lineRule="auto"/>
        <w:ind w:firstLine="480" w:firstLineChars="200"/>
        <w:rPr>
          <w:color w:val="333333"/>
          <w:sz w:val="24"/>
          <w:lang w:eastAsia="zh-Hans"/>
        </w:rPr>
      </w:pPr>
      <w:r>
        <w:rPr>
          <w:rFonts w:hint="eastAsia"/>
          <w:color w:val="333333"/>
          <w:sz w:val="24"/>
        </w:rPr>
        <w:t>外国投资者、外商投资企业可以通过政府热线、外商投资促进和企业服务平台、商会、协会等渠道，反映相关诉求和意见建议，有关部门应当及时处理。</w:t>
      </w:r>
      <w:r>
        <w:fldChar w:fldCharType="begin"/>
      </w:r>
      <w:r>
        <w:instrText xml:space="preserve"> HYPERLINK "javascript:void(0);" </w:instrText>
      </w:r>
      <w:r>
        <w:fldChar w:fldCharType="separate"/>
      </w:r>
      <w:r>
        <w:fldChar w:fldCharType="end"/>
      </w:r>
    </w:p>
    <w:p>
      <w:pPr>
        <w:shd w:val="clear" w:color="auto" w:fill="FFFFFF"/>
        <w:spacing w:line="360" w:lineRule="auto"/>
        <w:ind w:firstLine="481" w:firstLineChars="200"/>
        <w:rPr>
          <w:rFonts w:ascii="宋体" w:hAnsi="宋体" w:cs="宋体"/>
          <w:color w:val="000000"/>
          <w:sz w:val="24"/>
        </w:rPr>
      </w:pPr>
      <w:r>
        <w:rPr>
          <w:rFonts w:hint="eastAsia"/>
          <w:b/>
          <w:bCs/>
          <w:color w:val="333333"/>
          <w:sz w:val="24"/>
          <w:lang w:eastAsia="zh-Hans"/>
        </w:rPr>
        <w:t>第</w:t>
      </w:r>
      <w:r>
        <w:rPr>
          <w:rFonts w:hint="eastAsia"/>
          <w:b/>
          <w:bCs/>
          <w:color w:val="333333"/>
          <w:sz w:val="24"/>
        </w:rPr>
        <w:t>十九</w:t>
      </w:r>
      <w:r>
        <w:rPr>
          <w:rFonts w:hint="eastAsia"/>
          <w:b/>
          <w:bCs/>
          <w:color w:val="333333"/>
          <w:sz w:val="24"/>
          <w:lang w:eastAsia="zh-Hans"/>
        </w:rPr>
        <w:t xml:space="preserve">条 </w:t>
      </w:r>
      <w:r>
        <w:rPr>
          <w:rFonts w:hint="eastAsia"/>
          <w:b/>
          <w:bCs/>
          <w:color w:val="333333"/>
          <w:sz w:val="24"/>
        </w:rPr>
        <w:t>（</w:t>
      </w:r>
      <w:r>
        <w:rPr>
          <w:rFonts w:hint="eastAsia"/>
          <w:b/>
          <w:bCs/>
          <w:color w:val="333333"/>
          <w:sz w:val="24"/>
          <w:lang w:eastAsia="zh-Hans"/>
        </w:rPr>
        <w:t>推介指引</w:t>
      </w:r>
      <w:r>
        <w:rPr>
          <w:rFonts w:hint="eastAsia"/>
          <w:b/>
          <w:bCs/>
          <w:color w:val="333333"/>
          <w:sz w:val="24"/>
        </w:rPr>
        <w:t>）</w:t>
      </w:r>
      <w:bookmarkStart w:id="1" w:name="tiao_17_kuan_4"/>
      <w:bookmarkEnd w:id="1"/>
      <w:r>
        <w:rPr>
          <w:rFonts w:hint="eastAsia"/>
          <w:color w:val="333333"/>
          <w:sz w:val="24"/>
          <w:lang w:eastAsia="zh-Hans"/>
        </w:rPr>
        <w:t>省、</w:t>
      </w:r>
      <w:r>
        <w:rPr>
          <w:rFonts w:hint="eastAsia"/>
          <w:color w:val="333333"/>
          <w:sz w:val="24"/>
        </w:rPr>
        <w:t>设区的</w:t>
      </w:r>
      <w:r>
        <w:rPr>
          <w:rFonts w:hint="eastAsia" w:ascii="宋体" w:hAnsi="宋体" w:cs="宋体"/>
          <w:color w:val="000000"/>
          <w:sz w:val="24"/>
          <w:lang w:eastAsia="zh-Hans"/>
        </w:rPr>
        <w:t>市</w:t>
      </w:r>
      <w:r>
        <w:rPr>
          <w:rFonts w:hint="eastAsia" w:ascii="宋体" w:hAnsi="宋体" w:cs="宋体"/>
          <w:color w:val="000000"/>
          <w:sz w:val="24"/>
        </w:rPr>
        <w:t>商务主管部门应当会同同级外事部门对本</w:t>
      </w:r>
      <w:r>
        <w:rPr>
          <w:rFonts w:hint="eastAsia" w:ascii="宋体" w:hAnsi="宋体" w:cs="宋体"/>
          <w:color w:val="000000"/>
          <w:sz w:val="24"/>
          <w:lang w:eastAsia="zh-Hans"/>
        </w:rPr>
        <w:t>省、</w:t>
      </w:r>
      <w:r>
        <w:rPr>
          <w:rFonts w:hint="eastAsia" w:ascii="宋体" w:hAnsi="宋体" w:cs="宋体"/>
          <w:color w:val="000000"/>
          <w:sz w:val="24"/>
        </w:rPr>
        <w:t>市在境外开展的外商投资促进活动进行统筹、指导和服务。</w:t>
      </w:r>
      <w:r>
        <w:rPr>
          <w:rFonts w:hint="eastAsia" w:ascii="宋体" w:hAnsi="宋体" w:cs="宋体"/>
          <w:color w:val="000000"/>
          <w:sz w:val="24"/>
          <w:lang w:eastAsia="zh-Hans"/>
        </w:rPr>
        <w:t>省、</w:t>
      </w:r>
      <w:r>
        <w:rPr>
          <w:rFonts w:hint="eastAsia" w:ascii="宋体" w:hAnsi="宋体" w:cs="宋体"/>
          <w:color w:val="000000"/>
          <w:sz w:val="24"/>
        </w:rPr>
        <w:t>设区的</w:t>
      </w:r>
      <w:r>
        <w:rPr>
          <w:rFonts w:hint="eastAsia" w:ascii="宋体" w:hAnsi="宋体" w:cs="宋体"/>
          <w:color w:val="000000"/>
          <w:sz w:val="24"/>
          <w:lang w:eastAsia="zh-Hans"/>
        </w:rPr>
        <w:t>市</w:t>
      </w:r>
      <w:r>
        <w:rPr>
          <w:rFonts w:hint="eastAsia" w:ascii="宋体" w:hAnsi="宋体" w:cs="宋体"/>
          <w:color w:val="000000"/>
          <w:sz w:val="24"/>
        </w:rPr>
        <w:t>商务主管部门根据需要会同有关部门适时编制外商投资</w:t>
      </w:r>
      <w:r>
        <w:rPr>
          <w:rFonts w:hint="eastAsia" w:ascii="宋体" w:hAnsi="宋体" w:cs="宋体"/>
          <w:color w:val="000000"/>
          <w:sz w:val="24"/>
          <w:lang w:eastAsia="zh-Hans"/>
        </w:rPr>
        <w:t>指引</w:t>
      </w:r>
      <w:r>
        <w:rPr>
          <w:rFonts w:hint="eastAsia" w:ascii="宋体" w:hAnsi="宋体" w:cs="宋体"/>
          <w:color w:val="000000"/>
          <w:sz w:val="24"/>
        </w:rPr>
        <w:t>、外商投资环境白皮书。</w:t>
      </w:r>
    </w:p>
    <w:p>
      <w:pPr>
        <w:spacing w:line="360" w:lineRule="auto"/>
        <w:ind w:firstLine="481" w:firstLineChars="200"/>
        <w:rPr>
          <w:rFonts w:ascii="宋体" w:hAnsi="宋体" w:cs="宋体"/>
          <w:color w:val="000000"/>
          <w:sz w:val="24"/>
        </w:rPr>
      </w:pPr>
      <w:r>
        <w:rPr>
          <w:rStyle w:val="16"/>
          <w:rFonts w:hint="eastAsia" w:ascii="宋体" w:hAnsi="宋体" w:cs="宋体"/>
          <w:color w:val="000000"/>
          <w:sz w:val="24"/>
        </w:rPr>
        <w:t>第二十条</w:t>
      </w:r>
      <w:bookmarkStart w:id="2" w:name="tiao_23_kuan_1"/>
      <w:bookmarkEnd w:id="2"/>
      <w:r>
        <w:rPr>
          <w:rFonts w:hint="eastAsia" w:ascii="宋体" w:hAnsi="宋体" w:cs="宋体"/>
          <w:color w:val="000000"/>
          <w:sz w:val="24"/>
        </w:rPr>
        <w:t xml:space="preserve"> </w:t>
      </w:r>
      <w:r>
        <w:rPr>
          <w:rFonts w:hint="eastAsia" w:ascii="宋体" w:hAnsi="宋体" w:cs="宋体"/>
          <w:b/>
          <w:bCs/>
          <w:color w:val="000000"/>
          <w:sz w:val="24"/>
        </w:rPr>
        <w:t>（</w:t>
      </w:r>
      <w:r>
        <w:rPr>
          <w:rFonts w:hint="eastAsia" w:ascii="宋体" w:hAnsi="宋体" w:cs="宋体"/>
          <w:b/>
          <w:bCs/>
          <w:color w:val="000000"/>
          <w:sz w:val="24"/>
          <w:lang w:eastAsia="zh-Hans"/>
        </w:rPr>
        <w:t>多渠道融资</w:t>
      </w:r>
      <w:r>
        <w:rPr>
          <w:rFonts w:hint="eastAsia" w:ascii="宋体" w:hAnsi="宋体" w:cs="宋体"/>
          <w:b/>
          <w:bCs/>
          <w:color w:val="000000"/>
          <w:sz w:val="24"/>
        </w:rPr>
        <w:t>）</w:t>
      </w:r>
      <w:r>
        <w:rPr>
          <w:rFonts w:hint="eastAsia" w:ascii="宋体" w:hAnsi="宋体" w:cs="宋体"/>
          <w:color w:val="000000"/>
          <w:sz w:val="24"/>
        </w:rPr>
        <w:t>鼓励在本省的金融机构为外商投资企业提供多渠道融资。外商投资企业</w:t>
      </w:r>
      <w:r>
        <w:rPr>
          <w:rFonts w:hint="eastAsia" w:ascii="宋体" w:hAnsi="宋体" w:cs="宋体"/>
          <w:color w:val="000000"/>
          <w:sz w:val="24"/>
          <w:lang w:eastAsia="zh-Hans"/>
        </w:rPr>
        <w:t>符合条件的，</w:t>
      </w:r>
      <w:r>
        <w:rPr>
          <w:rFonts w:hint="eastAsia" w:ascii="宋体" w:hAnsi="宋体" w:cs="宋体"/>
          <w:color w:val="000000"/>
          <w:sz w:val="24"/>
        </w:rPr>
        <w:t>可以依法通过银行贷款、在中国境内或者境外公开发行股票、公司债券等证券，公开或者非公开发行其他融资工具，借用外债等方式进行融资。</w:t>
      </w:r>
      <w:r>
        <w:fldChar w:fldCharType="begin"/>
      </w:r>
      <w:r>
        <w:instrText xml:space="preserve"> HYPERLINK "javascript:void(0);" </w:instrText>
      </w:r>
      <w:r>
        <w:fldChar w:fldCharType="separate"/>
      </w:r>
      <w:r>
        <w:fldChar w:fldCharType="end"/>
      </w:r>
      <w:bookmarkStart w:id="3" w:name="tiao23_kuan1"/>
      <w:bookmarkEnd w:id="3"/>
    </w:p>
    <w:p>
      <w:pPr>
        <w:spacing w:line="360" w:lineRule="auto"/>
        <w:ind w:firstLine="480"/>
      </w:pPr>
      <w:bookmarkStart w:id="4" w:name="tiao_23_kuan_2"/>
      <w:bookmarkEnd w:id="4"/>
      <w:r>
        <w:rPr>
          <w:rFonts w:hint="eastAsia" w:ascii="宋体" w:hAnsi="宋体" w:cs="宋体"/>
          <w:color w:val="000000"/>
          <w:sz w:val="24"/>
        </w:rPr>
        <w:t>金融机构根据国家跨境融资管理政策，为外商投资企业开展本外币跨境融资提供相应便利，</w:t>
      </w:r>
      <w:r>
        <w:rPr>
          <w:rFonts w:hint="eastAsia" w:ascii="宋体" w:hAnsi="宋体" w:cs="宋体"/>
          <w:color w:val="000000"/>
          <w:sz w:val="24"/>
          <w:lang w:eastAsia="zh-Hans"/>
        </w:rPr>
        <w:t>提升跨境金融服务能力，推进经常项目和资本项目收支便利化</w:t>
      </w:r>
      <w:r>
        <w:rPr>
          <w:rFonts w:hint="eastAsia" w:ascii="宋体" w:hAnsi="宋体" w:cs="宋体"/>
          <w:color w:val="000000"/>
          <w:sz w:val="24"/>
        </w:rPr>
        <w:t>；</w:t>
      </w:r>
      <w:r>
        <w:rPr>
          <w:rFonts w:hint="eastAsia" w:ascii="宋体" w:hAnsi="宋体" w:cs="宋体"/>
          <w:color w:val="000000"/>
          <w:sz w:val="24"/>
          <w:lang w:eastAsia="zh-Hans"/>
        </w:rPr>
        <w:t>为外商投资企业提供涉外收支、跨境融资和电子结算便利化服务，实施外籍员工个人薪酬购汇便利化措施。</w:t>
      </w:r>
    </w:p>
    <w:p>
      <w:pPr>
        <w:spacing w:line="360" w:lineRule="auto"/>
        <w:ind w:firstLine="481" w:firstLineChars="200"/>
        <w:rPr>
          <w:rFonts w:ascii="宋体" w:hAnsi="宋体" w:cs="宋体"/>
          <w:sz w:val="24"/>
          <w:lang w:eastAsia="zh-Hans"/>
        </w:rPr>
      </w:pPr>
      <w:r>
        <w:rPr>
          <w:rStyle w:val="16"/>
          <w:rFonts w:hint="eastAsia" w:ascii="宋体" w:hAnsi="宋体" w:cs="宋体"/>
          <w:color w:val="000000"/>
          <w:sz w:val="24"/>
          <w:lang w:eastAsia="zh-Hans"/>
        </w:rPr>
        <w:t>第二十</w:t>
      </w:r>
      <w:r>
        <w:rPr>
          <w:rStyle w:val="16"/>
          <w:rFonts w:hint="eastAsia" w:ascii="宋体" w:hAnsi="宋体" w:cs="宋体"/>
          <w:color w:val="000000"/>
          <w:sz w:val="24"/>
        </w:rPr>
        <w:t>一</w:t>
      </w:r>
      <w:r>
        <w:rPr>
          <w:rStyle w:val="16"/>
          <w:rFonts w:hint="eastAsia" w:ascii="宋体" w:hAnsi="宋体" w:cs="宋体"/>
          <w:color w:val="000000"/>
          <w:sz w:val="24"/>
          <w:lang w:eastAsia="zh-Hans"/>
        </w:rPr>
        <w:t>条</w:t>
      </w:r>
      <w:r>
        <w:rPr>
          <w:rFonts w:hint="eastAsia" w:ascii="宋体" w:hAnsi="宋体" w:cs="宋体"/>
          <w:color w:val="000000"/>
          <w:sz w:val="24"/>
          <w:lang w:eastAsia="zh-Hans"/>
        </w:rPr>
        <w:t xml:space="preserve"> </w:t>
      </w:r>
      <w:r>
        <w:rPr>
          <w:rFonts w:hint="eastAsia" w:ascii="宋体" w:hAnsi="宋体" w:cs="宋体"/>
          <w:b/>
          <w:bCs/>
          <w:color w:val="000000"/>
          <w:sz w:val="24"/>
        </w:rPr>
        <w:t>（优化</w:t>
      </w:r>
      <w:r>
        <w:rPr>
          <w:rFonts w:hint="eastAsia" w:ascii="宋体" w:hAnsi="宋体" w:cs="宋体"/>
          <w:b/>
          <w:bCs/>
          <w:color w:val="000000"/>
          <w:sz w:val="24"/>
          <w:lang w:eastAsia="zh-Hans"/>
        </w:rPr>
        <w:t>人才</w:t>
      </w:r>
      <w:r>
        <w:rPr>
          <w:rFonts w:hint="eastAsia" w:ascii="宋体" w:hAnsi="宋体" w:cs="宋体"/>
          <w:b/>
          <w:bCs/>
          <w:color w:val="000000"/>
          <w:sz w:val="24"/>
        </w:rPr>
        <w:t>引进）</w:t>
      </w:r>
      <w:r>
        <w:rPr>
          <w:rFonts w:hint="eastAsia" w:ascii="宋体" w:hAnsi="宋体" w:cs="宋体"/>
          <w:sz w:val="24"/>
        </w:rPr>
        <w:t>加强重点项目人才引进支持，持续优化外国人来华许可</w:t>
      </w:r>
      <w:r>
        <w:rPr>
          <w:rFonts w:hint="eastAsia" w:ascii="宋体" w:hAnsi="宋体" w:cs="宋体"/>
          <w:sz w:val="24"/>
          <w:lang w:eastAsia="zh-Hans"/>
        </w:rPr>
        <w:t>及工作签证、</w:t>
      </w:r>
      <w:r>
        <w:rPr>
          <w:rFonts w:hint="eastAsia" w:ascii="宋体" w:hAnsi="宋体" w:cs="宋体"/>
          <w:sz w:val="24"/>
        </w:rPr>
        <w:t>看病就医、</w:t>
      </w:r>
      <w:r>
        <w:rPr>
          <w:rFonts w:hint="eastAsia" w:ascii="宋体" w:hAnsi="宋体" w:cs="宋体"/>
          <w:sz w:val="24"/>
          <w:lang w:eastAsia="zh-Hans"/>
        </w:rPr>
        <w:t>家属居留等</w:t>
      </w:r>
      <w:r>
        <w:rPr>
          <w:rFonts w:hint="eastAsia" w:ascii="宋体" w:hAnsi="宋体" w:cs="宋体"/>
          <w:sz w:val="24"/>
        </w:rPr>
        <w:t>事项</w:t>
      </w:r>
      <w:r>
        <w:rPr>
          <w:rFonts w:hint="eastAsia" w:ascii="宋体" w:hAnsi="宋体" w:cs="宋体"/>
          <w:sz w:val="24"/>
          <w:lang w:eastAsia="zh-Hans"/>
        </w:rPr>
        <w:t>的</w:t>
      </w:r>
      <w:r>
        <w:rPr>
          <w:rFonts w:hint="eastAsia" w:ascii="宋体" w:hAnsi="宋体" w:cs="宋体"/>
          <w:sz w:val="24"/>
        </w:rPr>
        <w:t>办理流程，</w:t>
      </w:r>
      <w:r>
        <w:rPr>
          <w:rFonts w:hint="eastAsia" w:ascii="宋体" w:hAnsi="宋体" w:cs="宋体"/>
          <w:sz w:val="24"/>
          <w:lang w:eastAsia="zh-Hans"/>
        </w:rPr>
        <w:t>并为此提供便利。</w:t>
      </w:r>
    </w:p>
    <w:p>
      <w:pPr>
        <w:spacing w:line="360" w:lineRule="auto"/>
        <w:ind w:firstLine="480" w:firstLineChars="200"/>
        <w:rPr>
          <w:rStyle w:val="16"/>
          <w:rFonts w:ascii="宋体" w:hAnsi="宋体" w:cs="宋体"/>
          <w:color w:val="000000"/>
          <w:sz w:val="24"/>
        </w:rPr>
      </w:pPr>
      <w:r>
        <w:rPr>
          <w:rFonts w:hint="eastAsia" w:ascii="宋体" w:hAnsi="宋体" w:cs="宋体"/>
          <w:kern w:val="0"/>
          <w:sz w:val="24"/>
          <w:lang w:bidi="ar"/>
        </w:rPr>
        <w:t>各地区可以根据本地实际，细化人才引进政策，简化引进流程。</w:t>
      </w:r>
      <w:r>
        <w:rPr>
          <w:rStyle w:val="16"/>
          <w:rFonts w:hint="eastAsia" w:ascii="宋体" w:hAnsi="宋体" w:cs="宋体"/>
          <w:color w:val="000000"/>
          <w:sz w:val="24"/>
        </w:rPr>
        <w:t>　</w:t>
      </w:r>
    </w:p>
    <w:p>
      <w:pPr>
        <w:spacing w:line="360" w:lineRule="auto"/>
        <w:ind w:firstLine="481" w:firstLineChars="200"/>
        <w:rPr>
          <w:rFonts w:ascii="宋体" w:hAnsi="宋体" w:cs="宋体"/>
          <w:color w:val="000000"/>
          <w:sz w:val="24"/>
          <w:lang w:eastAsia="zh-Hans"/>
        </w:rPr>
      </w:pPr>
      <w:r>
        <w:rPr>
          <w:rStyle w:val="16"/>
          <w:rFonts w:hint="eastAsia" w:ascii="宋体" w:hAnsi="宋体" w:cs="宋体"/>
          <w:color w:val="000000"/>
          <w:sz w:val="24"/>
          <w:lang w:eastAsia="zh-Hans"/>
        </w:rPr>
        <w:t>第二十</w:t>
      </w:r>
      <w:r>
        <w:rPr>
          <w:rStyle w:val="16"/>
          <w:rFonts w:hint="eastAsia" w:ascii="宋体" w:hAnsi="宋体" w:cs="宋体"/>
          <w:color w:val="000000"/>
          <w:sz w:val="24"/>
        </w:rPr>
        <w:t>二</w:t>
      </w:r>
      <w:r>
        <w:rPr>
          <w:rStyle w:val="16"/>
          <w:rFonts w:hint="eastAsia" w:ascii="宋体" w:hAnsi="宋体" w:cs="宋体"/>
          <w:color w:val="000000"/>
          <w:sz w:val="24"/>
          <w:lang w:eastAsia="zh-Hans"/>
        </w:rPr>
        <w:t>条</w:t>
      </w:r>
      <w:r>
        <w:rPr>
          <w:rFonts w:hint="eastAsia" w:ascii="宋体" w:hAnsi="宋体" w:cs="宋体"/>
          <w:color w:val="000000"/>
          <w:sz w:val="24"/>
          <w:lang w:eastAsia="zh-Hans"/>
        </w:rPr>
        <w:t xml:space="preserve"> </w:t>
      </w:r>
      <w:r>
        <w:rPr>
          <w:rFonts w:hint="eastAsia" w:ascii="宋体" w:hAnsi="宋体" w:cs="宋体"/>
          <w:b/>
          <w:bCs/>
          <w:color w:val="000000"/>
          <w:sz w:val="24"/>
        </w:rPr>
        <w:t>（</w:t>
      </w:r>
      <w:r>
        <w:rPr>
          <w:rFonts w:hint="eastAsia" w:ascii="宋体" w:hAnsi="宋体" w:cs="宋体"/>
          <w:b/>
          <w:bCs/>
          <w:color w:val="000000"/>
          <w:sz w:val="24"/>
          <w:lang w:eastAsia="zh-Hans"/>
        </w:rPr>
        <w:t>社保</w:t>
      </w:r>
      <w:r>
        <w:rPr>
          <w:rFonts w:hint="eastAsia" w:ascii="宋体" w:hAnsi="宋体" w:cs="宋体"/>
          <w:b/>
          <w:bCs/>
          <w:color w:val="000000"/>
          <w:sz w:val="24"/>
        </w:rPr>
        <w:t>）</w:t>
      </w:r>
      <w:r>
        <w:rPr>
          <w:rFonts w:hint="eastAsia" w:ascii="宋体" w:hAnsi="宋体" w:cs="宋体"/>
          <w:color w:val="000000"/>
          <w:sz w:val="24"/>
          <w:lang w:eastAsia="zh-Hans"/>
        </w:rPr>
        <w:t>外商投资企业聘用外籍员工</w:t>
      </w:r>
      <w:r>
        <w:rPr>
          <w:rFonts w:hint="eastAsia" w:ascii="宋体" w:hAnsi="宋体" w:cs="宋体"/>
          <w:color w:val="000000"/>
          <w:sz w:val="24"/>
        </w:rPr>
        <w:t>所涉</w:t>
      </w:r>
      <w:r>
        <w:rPr>
          <w:rFonts w:hint="eastAsia" w:ascii="宋体" w:hAnsi="宋体" w:cs="宋体"/>
          <w:color w:val="000000"/>
          <w:sz w:val="24"/>
          <w:lang w:eastAsia="zh-Hans"/>
        </w:rPr>
        <w:t>劳动合同、社保缴纳等问题，</w:t>
      </w:r>
      <w:r>
        <w:rPr>
          <w:rFonts w:hint="eastAsia" w:ascii="宋体" w:hAnsi="宋体" w:cs="宋体"/>
          <w:color w:val="000000"/>
          <w:sz w:val="24"/>
        </w:rPr>
        <w:t>应当</w:t>
      </w:r>
      <w:r>
        <w:rPr>
          <w:rFonts w:hint="eastAsia" w:ascii="宋体" w:hAnsi="宋体" w:cs="宋体"/>
          <w:color w:val="000000"/>
          <w:sz w:val="24"/>
          <w:lang w:eastAsia="zh-Hans"/>
        </w:rPr>
        <w:t>按照我国</w:t>
      </w:r>
      <w:r>
        <w:rPr>
          <w:rFonts w:hint="eastAsia" w:ascii="宋体" w:hAnsi="宋体" w:cs="宋体"/>
          <w:color w:val="000000"/>
          <w:sz w:val="24"/>
        </w:rPr>
        <w:t>相关法律法规的规定以及我国</w:t>
      </w:r>
      <w:r>
        <w:rPr>
          <w:rFonts w:hint="eastAsia" w:ascii="宋体" w:hAnsi="宋体" w:cs="宋体"/>
          <w:color w:val="000000"/>
          <w:sz w:val="24"/>
          <w:lang w:eastAsia="zh-Hans"/>
        </w:rPr>
        <w:t>签署的</w:t>
      </w:r>
      <w:r>
        <w:rPr>
          <w:rFonts w:hint="eastAsia" w:ascii="宋体" w:hAnsi="宋体" w:cs="宋体"/>
          <w:color w:val="000000"/>
          <w:sz w:val="24"/>
        </w:rPr>
        <w:t>相关</w:t>
      </w:r>
      <w:r>
        <w:rPr>
          <w:rFonts w:hint="eastAsia" w:ascii="宋体" w:hAnsi="宋体" w:cs="宋体"/>
          <w:color w:val="000000"/>
          <w:sz w:val="24"/>
          <w:lang w:eastAsia="zh-Hans"/>
        </w:rPr>
        <w:t>双边</w:t>
      </w:r>
      <w:r>
        <w:rPr>
          <w:rFonts w:hint="eastAsia" w:ascii="宋体" w:hAnsi="宋体" w:cs="宋体"/>
          <w:color w:val="000000"/>
          <w:sz w:val="24"/>
        </w:rPr>
        <w:t>或者多边</w:t>
      </w:r>
      <w:r>
        <w:rPr>
          <w:rFonts w:hint="eastAsia" w:ascii="宋体" w:hAnsi="宋体" w:cs="宋体"/>
          <w:color w:val="000000"/>
          <w:sz w:val="24"/>
          <w:lang w:eastAsia="zh-Hans"/>
        </w:rPr>
        <w:t>协定处理，省、市人民政府相关部门</w:t>
      </w:r>
      <w:r>
        <w:rPr>
          <w:rFonts w:hint="eastAsia" w:ascii="宋体" w:hAnsi="宋体" w:cs="宋体"/>
          <w:color w:val="000000"/>
          <w:sz w:val="24"/>
        </w:rPr>
        <w:t>依据</w:t>
      </w:r>
      <w:r>
        <w:rPr>
          <w:rFonts w:hint="eastAsia" w:ascii="宋体" w:hAnsi="宋体" w:cs="宋体"/>
          <w:color w:val="000000"/>
          <w:sz w:val="24"/>
          <w:lang w:eastAsia="zh-Hans"/>
        </w:rPr>
        <w:t>国家有关法律法规及政策为此提供便利。</w:t>
      </w:r>
    </w:p>
    <w:p>
      <w:pPr>
        <w:tabs>
          <w:tab w:val="left" w:pos="0"/>
        </w:tabs>
        <w:spacing w:line="360" w:lineRule="auto"/>
        <w:ind w:firstLine="481" w:firstLineChars="200"/>
        <w:rPr>
          <w:rFonts w:ascii="宋体" w:hAnsi="宋体" w:cs="宋体"/>
          <w:color w:val="000000"/>
          <w:sz w:val="24"/>
        </w:rPr>
      </w:pPr>
      <w:r>
        <w:rPr>
          <w:rStyle w:val="16"/>
          <w:rFonts w:hint="eastAsia" w:ascii="宋体" w:hAnsi="宋体" w:cs="宋体"/>
          <w:color w:val="000000"/>
          <w:sz w:val="24"/>
        </w:rPr>
        <w:t>第二十三条</w:t>
      </w:r>
      <w:bookmarkStart w:id="5" w:name="tiao_18_kuan_1"/>
      <w:bookmarkEnd w:id="5"/>
      <w:r>
        <w:rPr>
          <w:rFonts w:hint="eastAsia" w:ascii="宋体" w:hAnsi="宋体" w:cs="宋体"/>
          <w:color w:val="000000"/>
          <w:sz w:val="24"/>
        </w:rPr>
        <w:t xml:space="preserve"> </w:t>
      </w:r>
      <w:r>
        <w:rPr>
          <w:rFonts w:hint="eastAsia" w:ascii="宋体" w:hAnsi="宋体" w:cs="宋体"/>
          <w:b/>
          <w:bCs/>
          <w:color w:val="000000"/>
          <w:sz w:val="24"/>
        </w:rPr>
        <w:t>（</w:t>
      </w:r>
      <w:r>
        <w:rPr>
          <w:rFonts w:hint="eastAsia" w:ascii="宋体" w:hAnsi="宋体" w:cs="宋体"/>
          <w:b/>
          <w:bCs/>
          <w:color w:val="000000"/>
          <w:sz w:val="24"/>
          <w:lang w:eastAsia="zh-Hans"/>
        </w:rPr>
        <w:t>投促合作</w:t>
      </w:r>
      <w:r>
        <w:rPr>
          <w:rFonts w:hint="eastAsia" w:ascii="宋体" w:hAnsi="宋体" w:cs="宋体"/>
          <w:b/>
          <w:bCs/>
          <w:color w:val="000000"/>
          <w:sz w:val="24"/>
        </w:rPr>
        <w:t>）</w:t>
      </w:r>
      <w:r>
        <w:rPr>
          <w:rFonts w:hint="eastAsia" w:ascii="宋体" w:hAnsi="宋体" w:cs="宋体"/>
          <w:color w:val="000000"/>
          <w:sz w:val="24"/>
        </w:rPr>
        <w:t>本省各设区的</w:t>
      </w:r>
      <w:r>
        <w:rPr>
          <w:rFonts w:hint="eastAsia" w:ascii="宋体" w:hAnsi="宋体" w:cs="宋体"/>
          <w:color w:val="000000"/>
          <w:sz w:val="24"/>
          <w:lang w:eastAsia="zh-Hans"/>
        </w:rPr>
        <w:t>市人民政府及</w:t>
      </w:r>
      <w:r>
        <w:rPr>
          <w:rFonts w:hint="eastAsia" w:ascii="宋体" w:hAnsi="宋体" w:cs="宋体"/>
          <w:color w:val="000000"/>
          <w:sz w:val="24"/>
        </w:rPr>
        <w:t>其</w:t>
      </w:r>
      <w:r>
        <w:rPr>
          <w:rFonts w:hint="eastAsia" w:ascii="宋体" w:hAnsi="宋体" w:cs="宋体"/>
          <w:color w:val="000000"/>
          <w:sz w:val="24"/>
          <w:lang w:eastAsia="zh-Hans"/>
        </w:rPr>
        <w:t>各相关部门应</w:t>
      </w:r>
      <w:r>
        <w:rPr>
          <w:rFonts w:hint="eastAsia" w:ascii="宋体" w:hAnsi="宋体" w:cs="宋体"/>
          <w:color w:val="000000"/>
          <w:sz w:val="24"/>
        </w:rPr>
        <w:t>当加强与国际友好城市、友好组织以及其他境外</w:t>
      </w:r>
      <w:r>
        <w:rPr>
          <w:rFonts w:hint="eastAsia" w:ascii="宋体" w:hAnsi="宋体" w:cs="宋体"/>
          <w:color w:val="000000"/>
          <w:sz w:val="24"/>
          <w:lang w:eastAsia="zh-Hans"/>
        </w:rPr>
        <w:t>地区、</w:t>
      </w:r>
      <w:r>
        <w:rPr>
          <w:rFonts w:hint="eastAsia" w:ascii="宋体" w:hAnsi="宋体" w:cs="宋体"/>
          <w:color w:val="000000"/>
          <w:sz w:val="24"/>
        </w:rPr>
        <w:t>城市在投资经贸领域的交流和合作。</w:t>
      </w:r>
      <w:r>
        <w:fldChar w:fldCharType="begin"/>
      </w:r>
      <w:r>
        <w:instrText xml:space="preserve"> HYPERLINK "javascript:void(0);" </w:instrText>
      </w:r>
      <w:r>
        <w:fldChar w:fldCharType="separate"/>
      </w:r>
      <w:r>
        <w:fldChar w:fldCharType="end"/>
      </w:r>
      <w:bookmarkStart w:id="6" w:name="tiao18_kuan1"/>
      <w:bookmarkEnd w:id="6"/>
    </w:p>
    <w:p>
      <w:pPr>
        <w:spacing w:line="360" w:lineRule="auto"/>
        <w:rPr>
          <w:rFonts w:ascii="宋体" w:hAnsi="宋体" w:cs="宋体"/>
          <w:color w:val="000000"/>
          <w:sz w:val="24"/>
        </w:rPr>
      </w:pPr>
      <w:bookmarkStart w:id="7" w:name="tiao_18_kuan_2"/>
      <w:bookmarkEnd w:id="7"/>
      <w:r>
        <w:rPr>
          <w:rFonts w:hint="eastAsia" w:ascii="宋体" w:hAnsi="宋体" w:cs="宋体"/>
          <w:color w:val="000000"/>
          <w:sz w:val="24"/>
        </w:rPr>
        <w:t>　　</w:t>
      </w:r>
      <w:r>
        <w:rPr>
          <w:rFonts w:hint="eastAsia" w:ascii="宋体" w:hAnsi="宋体" w:cs="宋体"/>
          <w:color w:val="000000"/>
          <w:sz w:val="24"/>
          <w:lang w:eastAsia="zh-Hans"/>
        </w:rPr>
        <w:t>省、市</w:t>
      </w:r>
      <w:r>
        <w:rPr>
          <w:rFonts w:hint="eastAsia" w:ascii="宋体" w:hAnsi="宋体" w:cs="宋体"/>
          <w:color w:val="000000"/>
          <w:sz w:val="24"/>
        </w:rPr>
        <w:t>商务主管部门、外商投资促进机构等应当加强与境外驻</w:t>
      </w:r>
      <w:r>
        <w:rPr>
          <w:rFonts w:hint="eastAsia" w:ascii="宋体" w:hAnsi="宋体" w:cs="宋体"/>
          <w:color w:val="000000"/>
          <w:sz w:val="24"/>
          <w:lang w:eastAsia="zh-Hans"/>
        </w:rPr>
        <w:t>苏</w:t>
      </w:r>
      <w:r>
        <w:rPr>
          <w:rFonts w:hint="eastAsia" w:ascii="宋体" w:hAnsi="宋体" w:cs="宋体"/>
          <w:color w:val="000000"/>
          <w:sz w:val="24"/>
        </w:rPr>
        <w:t>投资促进机构等的联系，建立投资促进合作关系，根据实际需要在境外设立投资促进机构，推动完善海外投资促进网络。</w:t>
      </w:r>
      <w:r>
        <w:fldChar w:fldCharType="begin"/>
      </w:r>
      <w:r>
        <w:instrText xml:space="preserve"> HYPERLINK "javascript:void(0);" </w:instrText>
      </w:r>
      <w:r>
        <w:fldChar w:fldCharType="end"/>
      </w:r>
      <w:bookmarkStart w:id="8" w:name="tiao18_kuan2"/>
      <w:bookmarkEnd w:id="8"/>
    </w:p>
    <w:p>
      <w:pPr>
        <w:tabs>
          <w:tab w:val="left" w:pos="0"/>
        </w:tabs>
        <w:spacing w:line="360" w:lineRule="auto"/>
        <w:ind w:firstLine="480" w:firstLineChars="200"/>
        <w:jc w:val="left"/>
        <w:rPr>
          <w:sz w:val="24"/>
        </w:rPr>
      </w:pPr>
      <w:bookmarkStart w:id="9" w:name="tiao_18_kuan_3"/>
      <w:bookmarkEnd w:id="9"/>
      <w:r>
        <w:rPr>
          <w:rFonts w:hint="eastAsia" w:ascii="宋体" w:hAnsi="宋体" w:cs="宋体"/>
          <w:color w:val="000000"/>
          <w:sz w:val="24"/>
        </w:rPr>
        <w:t>本</w:t>
      </w:r>
      <w:r>
        <w:rPr>
          <w:rFonts w:hint="eastAsia" w:ascii="宋体" w:hAnsi="宋体" w:cs="宋体"/>
          <w:color w:val="000000"/>
          <w:sz w:val="24"/>
          <w:lang w:eastAsia="zh-Hans"/>
        </w:rPr>
        <w:t>省</w:t>
      </w:r>
      <w:r>
        <w:rPr>
          <w:rFonts w:hint="eastAsia" w:ascii="宋体" w:hAnsi="宋体" w:cs="宋体"/>
          <w:color w:val="000000"/>
          <w:sz w:val="24"/>
        </w:rPr>
        <w:t>在境外设立的投资促进机构应当加强与</w:t>
      </w:r>
      <w:r>
        <w:rPr>
          <w:rFonts w:hint="eastAsia" w:ascii="宋体" w:hAnsi="宋体" w:cs="宋体"/>
          <w:color w:val="000000"/>
          <w:sz w:val="24"/>
          <w:lang w:eastAsia="zh-Hans"/>
        </w:rPr>
        <w:t>省、</w:t>
      </w:r>
      <w:r>
        <w:rPr>
          <w:rFonts w:hint="eastAsia" w:ascii="宋体" w:hAnsi="宋体" w:cs="宋体"/>
          <w:color w:val="000000"/>
          <w:sz w:val="24"/>
        </w:rPr>
        <w:t>市有关部门以及园区的对接，加强与本</w:t>
      </w:r>
      <w:r>
        <w:rPr>
          <w:rFonts w:hint="eastAsia" w:ascii="宋体" w:hAnsi="宋体" w:cs="宋体"/>
          <w:color w:val="000000"/>
          <w:sz w:val="24"/>
          <w:lang w:eastAsia="zh-Hans"/>
        </w:rPr>
        <w:t>省、市</w:t>
      </w:r>
      <w:r>
        <w:rPr>
          <w:rFonts w:hint="eastAsia" w:ascii="宋体" w:hAnsi="宋体" w:cs="宋体"/>
          <w:color w:val="000000"/>
          <w:sz w:val="24"/>
        </w:rPr>
        <w:t>企业海外办事机构的联动，共同</w:t>
      </w:r>
      <w:r>
        <w:rPr>
          <w:rFonts w:hint="eastAsia"/>
          <w:sz w:val="24"/>
        </w:rPr>
        <w:t>做好项目引进等服务工作。</w:t>
      </w:r>
    </w:p>
    <w:p>
      <w:pPr>
        <w:widowControl/>
        <w:tabs>
          <w:tab w:val="left" w:pos="0"/>
        </w:tabs>
        <w:spacing w:line="360" w:lineRule="auto"/>
        <w:ind w:firstLine="481" w:firstLineChars="200"/>
        <w:rPr>
          <w:rFonts w:ascii="宋体" w:hAnsi="宋体"/>
          <w:color w:val="000000"/>
          <w:sz w:val="24"/>
        </w:rPr>
      </w:pPr>
      <w:r>
        <w:rPr>
          <w:rFonts w:hint="eastAsia"/>
          <w:b/>
          <w:bCs/>
          <w:sz w:val="24"/>
        </w:rPr>
        <w:t xml:space="preserve">第二十四条 </w:t>
      </w:r>
      <w:r>
        <w:rPr>
          <w:rFonts w:hint="eastAsia" w:ascii="宋体" w:hAnsi="宋体" w:cs="宋体"/>
          <w:b/>
          <w:bCs/>
          <w:color w:val="000000"/>
          <w:sz w:val="24"/>
        </w:rPr>
        <w:t>（过渡期服务）</w:t>
      </w:r>
      <w:r>
        <w:rPr>
          <w:rFonts w:hint="eastAsia" w:ascii="宋体" w:hAnsi="宋体" w:cs="宋体"/>
          <w:color w:val="000000"/>
          <w:sz w:val="24"/>
        </w:rPr>
        <w:t>对依据《中华人民共和国中外合资经营企业法》《中华人民共和国外资企业法》《中华人民共和国中</w:t>
      </w:r>
      <w:r>
        <w:rPr>
          <w:rFonts w:hint="eastAsia" w:ascii="宋体" w:hAnsi="宋体"/>
          <w:color w:val="000000"/>
          <w:sz w:val="24"/>
        </w:rPr>
        <w:t>外合作经营企业法》设立并保留原企业组织形式的外商投资企业，商务主管部门、市场监管部门可通过提供过渡期专项法律咨询、为企业办理变更登记提供便利等方式优化服务，指导其依法平稳完成组织形式等转型过渡。</w:t>
      </w:r>
    </w:p>
    <w:p>
      <w:pPr>
        <w:pStyle w:val="2"/>
        <w:ind w:firstLine="210"/>
      </w:pPr>
    </w:p>
    <w:p>
      <w:pPr>
        <w:pStyle w:val="5"/>
        <w:snapToGrid w:val="0"/>
        <w:spacing w:before="0" w:after="0" w:line="360" w:lineRule="auto"/>
        <w:jc w:val="center"/>
        <w:rPr>
          <w:rFonts w:ascii="宋体" w:hAnsi="宋体" w:cs="宋体"/>
          <w:color w:val="333333"/>
          <w:sz w:val="32"/>
          <w:szCs w:val="32"/>
        </w:rPr>
      </w:pPr>
      <w:r>
        <w:rPr>
          <w:rFonts w:hint="eastAsia" w:ascii="宋体" w:hAnsi="宋体" w:cs="宋体"/>
          <w:color w:val="333333"/>
          <w:sz w:val="32"/>
          <w:szCs w:val="32"/>
        </w:rPr>
        <w:t>第三章  投资保护</w:t>
      </w:r>
    </w:p>
    <w:p>
      <w:pPr>
        <w:shd w:val="clear" w:color="auto" w:fill="FFFFFF"/>
        <w:spacing w:line="360" w:lineRule="auto"/>
        <w:ind w:firstLine="481" w:firstLineChars="200"/>
        <w:rPr>
          <w:rFonts w:ascii="宋体" w:hAnsi="宋体" w:cs="宋体"/>
          <w:color w:val="333333"/>
          <w:sz w:val="24"/>
        </w:rPr>
      </w:pPr>
      <w:r>
        <w:rPr>
          <w:rFonts w:hint="eastAsia" w:ascii="宋体" w:hAnsi="宋体" w:cs="宋体"/>
          <w:b/>
          <w:bCs/>
          <w:color w:val="333333"/>
          <w:sz w:val="24"/>
        </w:rPr>
        <w:t>第二十五条 （非歧视待遇）</w:t>
      </w:r>
      <w:r>
        <w:rPr>
          <w:rFonts w:hint="eastAsia" w:ascii="宋体" w:hAnsi="宋体" w:cs="宋体"/>
          <w:color w:val="333333"/>
          <w:sz w:val="24"/>
        </w:rPr>
        <w:t>各级地方人民政府及其有关部门应当依法平等对待外商投资企业，不得制定、实施或变相实施歧视性政策措施。外商投资企业依法享受平等使用各类生产要素和公共服务资源的权利，依法平等参与招标投标、土地出让、产权交易等活动。</w:t>
      </w:r>
    </w:p>
    <w:p>
      <w:pPr>
        <w:shd w:val="clear" w:color="auto" w:fill="FFFFFF"/>
        <w:spacing w:line="360" w:lineRule="auto"/>
      </w:pPr>
      <w:r>
        <w:rPr>
          <w:color w:val="333333"/>
          <w:szCs w:val="21"/>
        </w:rPr>
        <w:t xml:space="preserve"> </w:t>
      </w:r>
      <w:r>
        <w:rPr>
          <w:rFonts w:hint="eastAsia"/>
          <w:color w:val="333333"/>
          <w:szCs w:val="21"/>
        </w:rPr>
        <w:t xml:space="preserve">    </w:t>
      </w:r>
      <w:r>
        <w:rPr>
          <w:rFonts w:hint="eastAsia" w:ascii="宋体" w:hAnsi="宋体" w:cs="宋体"/>
          <w:b/>
          <w:bCs/>
          <w:color w:val="333333"/>
          <w:sz w:val="24"/>
        </w:rPr>
        <w:t>第二十六条 （征收及其补偿）</w:t>
      </w:r>
      <w:r>
        <w:rPr>
          <w:rFonts w:hint="eastAsia" w:ascii="宋体" w:hAnsi="宋体" w:cs="宋体"/>
          <w:color w:val="333333"/>
          <w:sz w:val="24"/>
        </w:rPr>
        <w:t>对外国投资者的投资不实行征收。特殊情况下，为了公共利益的需要，依照法律规定对外国投资者的投资实行征收的，应当依照法定程序、以非歧视性的方式进行，并按照被征收投资的市场价值及时给予补偿。</w:t>
      </w:r>
    </w:p>
    <w:p>
      <w:pPr>
        <w:shd w:val="clear" w:color="auto" w:fill="FFFFFF"/>
        <w:spacing w:line="360" w:lineRule="auto"/>
        <w:ind w:firstLine="481" w:firstLineChars="200"/>
        <w:rPr>
          <w:rFonts w:ascii="宋体" w:hAnsi="宋体" w:cs="宋体"/>
          <w:color w:val="333333"/>
          <w:sz w:val="24"/>
        </w:rPr>
      </w:pPr>
      <w:r>
        <w:rPr>
          <w:rFonts w:hint="eastAsia" w:ascii="宋体" w:hAnsi="宋体" w:cs="宋体"/>
          <w:b/>
          <w:bCs/>
          <w:color w:val="333333"/>
          <w:sz w:val="24"/>
        </w:rPr>
        <w:t>第二十七条 （外汇转移）</w:t>
      </w:r>
      <w:r>
        <w:rPr>
          <w:rFonts w:hint="eastAsia" w:ascii="宋体" w:hAnsi="宋体" w:cs="宋体"/>
          <w:color w:val="333333"/>
          <w:sz w:val="24"/>
        </w:rPr>
        <w:t>外国投资者在中国境内的出资、利润、资本收益、资产处置所得、取得的知识产权许可使用费、依法获得的补偿或者赔偿、清算所得等与投资相关的转移，可以依法以人民币或者外汇自由汇入、汇出。</w:t>
      </w:r>
    </w:p>
    <w:p>
      <w:pPr>
        <w:shd w:val="clear" w:color="auto" w:fill="FFFFFF"/>
        <w:spacing w:line="360" w:lineRule="auto"/>
        <w:ind w:firstLine="420"/>
        <w:rPr>
          <w:rFonts w:ascii="宋体" w:hAnsi="宋体" w:cs="宋体"/>
          <w:color w:val="333333"/>
          <w:sz w:val="24"/>
        </w:rPr>
      </w:pPr>
      <w:r>
        <w:rPr>
          <w:rFonts w:hint="eastAsia" w:ascii="宋体" w:hAnsi="宋体" w:cs="宋体"/>
          <w:color w:val="333333"/>
          <w:sz w:val="24"/>
        </w:rPr>
        <w:t>外商投资企业的外籍职工和香港、澳门、台湾职工的工资收入和其他合法收入，可以依法自由汇出。</w:t>
      </w:r>
    </w:p>
    <w:p>
      <w:pPr>
        <w:shd w:val="clear" w:color="auto" w:fill="FFFFFF"/>
        <w:spacing w:line="360" w:lineRule="auto"/>
        <w:ind w:firstLine="420"/>
        <w:rPr>
          <w:rFonts w:ascii="宋体" w:hAnsi="宋体" w:cs="宋体"/>
          <w:color w:val="333333"/>
          <w:sz w:val="24"/>
        </w:rPr>
      </w:pPr>
      <w:r>
        <w:rPr>
          <w:rFonts w:hint="eastAsia" w:ascii="宋体" w:hAnsi="宋体" w:cs="宋体"/>
          <w:color w:val="333333"/>
          <w:sz w:val="24"/>
        </w:rPr>
        <w:t>任何单位和个人不得对币种、数额以及汇入、汇出的频次等进行违法限制。</w:t>
      </w:r>
    </w:p>
    <w:p>
      <w:pPr>
        <w:shd w:val="clear" w:color="auto" w:fill="FFFFFF"/>
        <w:spacing w:line="360" w:lineRule="auto"/>
        <w:ind w:firstLine="481" w:firstLineChars="200"/>
        <w:rPr>
          <w:color w:val="333333"/>
          <w:sz w:val="24"/>
        </w:rPr>
      </w:pPr>
      <w:r>
        <w:rPr>
          <w:rFonts w:hint="eastAsia"/>
          <w:b/>
          <w:bCs/>
          <w:color w:val="333333"/>
          <w:sz w:val="24"/>
        </w:rPr>
        <w:t>第二十八条 （依法参与规范制定）</w:t>
      </w:r>
      <w:r>
        <w:rPr>
          <w:color w:val="333333"/>
          <w:sz w:val="24"/>
        </w:rPr>
        <w:t>制定</w:t>
      </w:r>
      <w:r>
        <w:rPr>
          <w:rFonts w:hint="eastAsia"/>
          <w:color w:val="333333"/>
          <w:sz w:val="24"/>
        </w:rPr>
        <w:t>、修订</w:t>
      </w:r>
      <w:r>
        <w:rPr>
          <w:color w:val="333333"/>
          <w:sz w:val="24"/>
        </w:rPr>
        <w:t>与外商投资有关的地方性法规、规章、规范性文件，</w:t>
      </w:r>
      <w:r>
        <w:rPr>
          <w:rFonts w:hint="eastAsia"/>
          <w:color w:val="333333"/>
          <w:sz w:val="24"/>
        </w:rPr>
        <w:t>制定机关</w:t>
      </w:r>
      <w:r>
        <w:rPr>
          <w:color w:val="333333"/>
          <w:sz w:val="24"/>
        </w:rPr>
        <w:t>应当</w:t>
      </w:r>
      <w:r>
        <w:rPr>
          <w:rFonts w:hint="eastAsia"/>
          <w:color w:val="333333"/>
          <w:sz w:val="24"/>
        </w:rPr>
        <w:t>确保</w:t>
      </w:r>
      <w:r>
        <w:rPr>
          <w:color w:val="333333"/>
          <w:sz w:val="24"/>
        </w:rPr>
        <w:t>信息公开，充分听取外商投资企业和有关商会、协会等</w:t>
      </w:r>
      <w:r>
        <w:rPr>
          <w:rFonts w:hint="eastAsia"/>
          <w:color w:val="333333"/>
          <w:sz w:val="24"/>
        </w:rPr>
        <w:t>利害关系人</w:t>
      </w:r>
      <w:r>
        <w:rPr>
          <w:color w:val="333333"/>
          <w:sz w:val="24"/>
        </w:rPr>
        <w:t>的意见</w:t>
      </w:r>
      <w:r>
        <w:rPr>
          <w:rFonts w:hint="eastAsia"/>
          <w:color w:val="333333"/>
          <w:sz w:val="24"/>
        </w:rPr>
        <w:t>，必要时应当召开听证会，并</w:t>
      </w:r>
      <w:r>
        <w:rPr>
          <w:color w:val="333333"/>
          <w:sz w:val="24"/>
        </w:rPr>
        <w:t>为外商投资企业参与提供便利和指导。</w:t>
      </w:r>
    </w:p>
    <w:p>
      <w:pPr>
        <w:shd w:val="clear" w:color="auto" w:fill="FFFFFF"/>
        <w:spacing w:line="360" w:lineRule="auto"/>
        <w:ind w:firstLine="420"/>
        <w:rPr>
          <w:color w:val="333333"/>
          <w:sz w:val="24"/>
        </w:rPr>
      </w:pPr>
      <w:r>
        <w:rPr>
          <w:rFonts w:hint="eastAsia"/>
          <w:color w:val="333333"/>
          <w:sz w:val="24"/>
        </w:rPr>
        <w:t>制定</w:t>
      </w:r>
      <w:r>
        <w:rPr>
          <w:color w:val="333333"/>
          <w:sz w:val="24"/>
        </w:rPr>
        <w:t>与外商投资有关的地方性法规、规章、规范性文件</w:t>
      </w:r>
      <w:r>
        <w:rPr>
          <w:rFonts w:hint="eastAsia"/>
          <w:color w:val="333333"/>
          <w:sz w:val="24"/>
        </w:rPr>
        <w:t>，应当在施行前留出必要的适应调整期，但是国家另有规定以及公布后不立即施行将有碍施行的除外。</w:t>
      </w:r>
    </w:p>
    <w:p>
      <w:pPr>
        <w:shd w:val="clear" w:color="auto" w:fill="FFFFFF"/>
        <w:spacing w:line="360" w:lineRule="auto"/>
        <w:rPr>
          <w:color w:val="333333"/>
          <w:sz w:val="24"/>
        </w:rPr>
      </w:pPr>
      <w:r>
        <w:rPr>
          <w:color w:val="333333"/>
          <w:szCs w:val="21"/>
        </w:rPr>
        <w:t xml:space="preserve"> </w:t>
      </w:r>
      <w:r>
        <w:rPr>
          <w:rFonts w:hint="eastAsia"/>
          <w:color w:val="333333"/>
          <w:szCs w:val="21"/>
        </w:rPr>
        <w:t xml:space="preserve">  </w:t>
      </w:r>
      <w:r>
        <w:rPr>
          <w:rFonts w:hint="eastAsia"/>
          <w:color w:val="333333"/>
          <w:sz w:val="24"/>
        </w:rPr>
        <w:t xml:space="preserve"> </w:t>
      </w:r>
      <w:r>
        <w:rPr>
          <w:rFonts w:hint="eastAsia"/>
          <w:b/>
          <w:bCs/>
          <w:color w:val="333333"/>
          <w:sz w:val="24"/>
        </w:rPr>
        <w:t>第二十九条 （禁止业绩要求）</w:t>
      </w:r>
      <w:r>
        <w:rPr>
          <w:rFonts w:hint="eastAsia"/>
          <w:color w:val="333333"/>
          <w:sz w:val="24"/>
        </w:rPr>
        <w:t>没有法律、行政法规依据的，各级地方人民政府及其有关部门不得减损外商投资企业的合法权益或者增加其义务，不得设置市场准入和退出条件，不得干预外商投资企业的正常生产经营活动，包括出口实绩、当地含量、购买国货、外汇平衡、限制国内销售、强制技术转让、特定地区销售和规定特许费金额或比例的禁止性业绩要求，也不得以此类要求作为给予外国投资者优惠的条件。</w:t>
      </w:r>
    </w:p>
    <w:p>
      <w:pPr>
        <w:shd w:val="clear" w:color="auto" w:fill="FFFFFF"/>
        <w:spacing w:line="360" w:lineRule="auto"/>
        <w:ind w:firstLine="481" w:firstLineChars="200"/>
        <w:rPr>
          <w:rFonts w:ascii="Helvetica Neue" w:hAnsi="Helvetica Neue"/>
          <w:color w:val="333333"/>
          <w:sz w:val="24"/>
        </w:rPr>
      </w:pPr>
      <w:r>
        <w:rPr>
          <w:rFonts w:hint="eastAsia"/>
          <w:b/>
          <w:bCs/>
          <w:color w:val="333333"/>
          <w:sz w:val="24"/>
        </w:rPr>
        <w:t>第三十条 （政府依法履约）</w:t>
      </w:r>
      <w:r>
        <w:rPr>
          <w:rFonts w:hint="eastAsia" w:ascii="Helvetica Neue" w:hAnsi="Helvetica Neue"/>
          <w:color w:val="333333"/>
          <w:sz w:val="24"/>
        </w:rPr>
        <w:t>各级地方</w:t>
      </w:r>
      <w:r>
        <w:rPr>
          <w:rFonts w:ascii="Helvetica Neue" w:hAnsi="Helvetica Neue"/>
          <w:color w:val="333333"/>
          <w:sz w:val="24"/>
        </w:rPr>
        <w:t>人民政府及其有关部门向外国投资者、外商投资企业依法作出的政策承诺以及依法订立的各类</w:t>
      </w:r>
      <w:r>
        <w:rPr>
          <w:rFonts w:hint="eastAsia" w:ascii="Helvetica Neue" w:hAnsi="Helvetica Neue"/>
          <w:color w:val="333333"/>
          <w:sz w:val="24"/>
        </w:rPr>
        <w:t>协议</w:t>
      </w:r>
      <w:r>
        <w:rPr>
          <w:rFonts w:ascii="Helvetica Neue" w:hAnsi="Helvetica Neue"/>
          <w:color w:val="333333"/>
          <w:sz w:val="24"/>
        </w:rPr>
        <w:t>，应当严格履行，不得以行政区划调整、政府换届、机构或者职能调整以及相关责任人更替等为由违约毁约。</w:t>
      </w:r>
    </w:p>
    <w:p>
      <w:pPr>
        <w:shd w:val="clear" w:color="auto" w:fill="FFFFFF"/>
        <w:spacing w:line="360" w:lineRule="auto"/>
        <w:ind w:firstLine="480" w:firstLineChars="200"/>
        <w:rPr>
          <w:rFonts w:ascii="Helvetica Neue" w:hAnsi="Helvetica Neue"/>
          <w:color w:val="333333"/>
          <w:sz w:val="24"/>
        </w:rPr>
      </w:pPr>
      <w:r>
        <w:rPr>
          <w:rFonts w:hint="eastAsia" w:ascii="Helvetica Neue" w:hAnsi="Helvetica Neue"/>
          <w:color w:val="333333"/>
          <w:sz w:val="24"/>
        </w:rPr>
        <w:t>因国家利益、社会公共利益需要改变政策承诺、合同约定的，应当依照法定权限和程序进行，并依法对外国投资者、外商投资企业因此受到的损失及时予以公平、合理的补偿。</w:t>
      </w:r>
    </w:p>
    <w:p>
      <w:pPr>
        <w:widowControl/>
        <w:shd w:val="clear" w:color="auto" w:fill="FFFFFF"/>
        <w:spacing w:line="360" w:lineRule="auto"/>
        <w:ind w:firstLine="481" w:firstLineChars="200"/>
        <w:jc w:val="left"/>
        <w:rPr>
          <w:color w:val="333333"/>
          <w:sz w:val="24"/>
        </w:rPr>
      </w:pPr>
      <w:r>
        <w:rPr>
          <w:rFonts w:hint="eastAsia"/>
          <w:b/>
          <w:bCs/>
          <w:color w:val="333333"/>
          <w:sz w:val="24"/>
        </w:rPr>
        <w:t>第三十一条 （投诉处理）</w:t>
      </w:r>
      <w:r>
        <w:rPr>
          <w:rFonts w:hint="eastAsia"/>
          <w:color w:val="333333"/>
          <w:sz w:val="24"/>
        </w:rPr>
        <w:t>外国投资者、外商投资企业认为本省行政机关及其工作人员的行政行为侵犯其合法权益，或者反映投资环境方面存在的问题、建议完善有关政策措施的，可以向本省各级外商投资企业投诉工作机构投诉。</w:t>
      </w:r>
    </w:p>
    <w:p>
      <w:pPr>
        <w:shd w:val="clear" w:color="auto" w:fill="FFFFFF"/>
        <w:spacing w:line="360" w:lineRule="auto"/>
        <w:ind w:firstLine="420"/>
        <w:rPr>
          <w:color w:val="333333"/>
          <w:sz w:val="24"/>
        </w:rPr>
      </w:pPr>
      <w:r>
        <w:rPr>
          <w:rFonts w:hint="eastAsia"/>
          <w:color w:val="333333"/>
          <w:sz w:val="24"/>
        </w:rPr>
        <w:t>外商投资企业投诉工作机构应当组织与外商投资有关的政策法规宣传，积极预防投诉事项的发生；对外国投资者、外商投资企业的投诉，应当依据</w:t>
      </w:r>
      <w:r>
        <w:rPr>
          <w:color w:val="333333"/>
          <w:sz w:val="24"/>
        </w:rPr>
        <w:t>《江苏省外商投资企业投诉工作办法》</w:t>
      </w:r>
      <w:r>
        <w:rPr>
          <w:rFonts w:hint="eastAsia"/>
          <w:color w:val="333333"/>
          <w:sz w:val="24"/>
        </w:rPr>
        <w:t>及时处理。</w:t>
      </w:r>
    </w:p>
    <w:p>
      <w:pPr>
        <w:shd w:val="clear" w:color="auto" w:fill="FFFFFF"/>
        <w:spacing w:line="360" w:lineRule="auto"/>
        <w:ind w:firstLine="481" w:firstLineChars="200"/>
        <w:rPr>
          <w:sz w:val="24"/>
        </w:rPr>
      </w:pPr>
      <w:r>
        <w:rPr>
          <w:rFonts w:hint="eastAsia" w:ascii="宋体" w:hAnsi="宋体" w:cs="宋体"/>
          <w:b/>
          <w:bCs/>
          <w:color w:val="000000" w:themeColor="text1"/>
          <w:sz w:val="24"/>
          <w14:textFill>
            <w14:solidFill>
              <w14:schemeClr w14:val="tx1"/>
            </w14:solidFill>
          </w14:textFill>
        </w:rPr>
        <w:t>第三十二条 （纠纷化解）</w:t>
      </w:r>
      <w:r>
        <w:rPr>
          <w:rFonts w:hint="eastAsia" w:ascii="宋体" w:hAnsi="宋体" w:cs="宋体"/>
          <w:color w:val="000000" w:themeColor="text1"/>
          <w:sz w:val="24"/>
          <w14:textFill>
            <w14:solidFill>
              <w14:schemeClr w14:val="tx1"/>
            </w14:solidFill>
          </w14:textFill>
        </w:rPr>
        <w:t>本省</w:t>
      </w:r>
      <w:r>
        <w:rPr>
          <w:rFonts w:hint="eastAsia"/>
          <w:sz w:val="24"/>
        </w:rPr>
        <w:t>积极畅通外资商事纠纷解决途径，协调运用调解、仲裁、诉讼等手段，为外商投资企业提供高效、便捷的商事纠纷解决途径。</w:t>
      </w:r>
    </w:p>
    <w:p>
      <w:pPr>
        <w:spacing w:line="360" w:lineRule="auto"/>
        <w:ind w:firstLine="481" w:firstLineChars="200"/>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第三十三条 （知识产权保护总要求）</w:t>
      </w:r>
      <w:r>
        <w:rPr>
          <w:rFonts w:hint="eastAsia" w:ascii="宋体" w:hAnsi="宋体" w:cs="宋体"/>
          <w:color w:val="000000" w:themeColor="text1"/>
          <w:sz w:val="24"/>
          <w14:textFill>
            <w14:solidFill>
              <w14:schemeClr w14:val="tx1"/>
            </w14:solidFill>
          </w14:textFill>
        </w:rPr>
        <w:t>依法严格保护外国投资者、外商投资企业的知识产权，推动建立跨区域、跨部门知识产权快速协同保护机制，健全行政保护和司法保护相结合的知识产权保护体系，依法惩处知识产权侵权行为。</w:t>
      </w:r>
    </w:p>
    <w:p>
      <w:pPr>
        <w:spacing w:line="360" w:lineRule="auto"/>
        <w:ind w:firstLine="481" w:firstLineChars="200"/>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第三十四条 （商业秘密保护）</w:t>
      </w:r>
      <w:r>
        <w:rPr>
          <w:rFonts w:hint="eastAsia" w:ascii="宋体" w:hAnsi="宋体" w:cs="宋体"/>
          <w:color w:val="000000" w:themeColor="text1"/>
          <w:sz w:val="24"/>
          <w14:textFill>
            <w14:solidFill>
              <w14:schemeClr w14:val="tx1"/>
            </w14:solidFill>
          </w14:textFill>
        </w:rPr>
        <w:t>各级行政机关及其工作人员应当依法对履行职责过程中知悉的外国投资者、外商投资企业的商业秘密予以保密，并采取有效措施进行保护，严格控制知悉范围，不得泄露或者非法向他人提供。</w:t>
      </w:r>
    </w:p>
    <w:p>
      <w:pPr>
        <w:spacing w:line="360" w:lineRule="auto"/>
        <w:ind w:firstLine="480" w:firstLineChars="200"/>
      </w:pPr>
      <w:r>
        <w:rPr>
          <w:rFonts w:hint="eastAsia" w:ascii="宋体" w:hAnsi="宋体" w:cs="宋体"/>
          <w:color w:val="000000" w:themeColor="text1"/>
          <w:sz w:val="24"/>
          <w14:textFill>
            <w14:solidFill>
              <w14:schemeClr w14:val="tx1"/>
            </w14:solidFill>
          </w14:textFill>
        </w:rPr>
        <w:t>司法机关应当依法加强商业秘密司法保护，充分维护权利人合法权益。</w:t>
      </w:r>
    </w:p>
    <w:p>
      <w:pPr>
        <w:pStyle w:val="2"/>
        <w:spacing w:after="0" w:line="360" w:lineRule="auto"/>
        <w:ind w:firstLine="481" w:firstLineChars="200"/>
        <w:rPr>
          <w:rFonts w:ascii="宋体" w:hAnsi="宋体"/>
          <w:color w:val="000000"/>
          <w:sz w:val="24"/>
        </w:rPr>
      </w:pPr>
      <w:r>
        <w:rPr>
          <w:rFonts w:hint="eastAsia" w:hAnsi="宋体"/>
          <w:b/>
          <w:bCs/>
          <w:color w:val="000000"/>
          <w:sz w:val="24"/>
        </w:rPr>
        <w:t>第三十五</w:t>
      </w:r>
      <w:r>
        <w:rPr>
          <w:rFonts w:hint="eastAsia" w:ascii="宋体" w:hAnsi="宋体"/>
          <w:b/>
          <w:bCs/>
          <w:color w:val="000000"/>
          <w:sz w:val="24"/>
        </w:rPr>
        <w:t xml:space="preserve">条 </w:t>
      </w:r>
      <w:r>
        <w:rPr>
          <w:rFonts w:hint="eastAsia" w:hAnsi="宋体"/>
          <w:b/>
          <w:bCs/>
          <w:color w:val="000000"/>
          <w:sz w:val="24"/>
        </w:rPr>
        <w:t>（商会协会）</w:t>
      </w:r>
      <w:r>
        <w:rPr>
          <w:rFonts w:hint="eastAsia" w:ascii="宋体" w:hAnsi="宋体"/>
          <w:color w:val="000000"/>
          <w:sz w:val="24"/>
        </w:rPr>
        <w:t xml:space="preserve">外商投资企业可以依法成立和自愿参加商会、协会。商会、协会依照法律和章程的规定开展相关活动，及时反映行业、会员的诉求，为行业、会员提供信息咨询、宣传培训、市场拓展、经贸交流、权益保护、纠纷处理等方面的服务。  </w:t>
      </w:r>
    </w:p>
    <w:p>
      <w:pPr>
        <w:spacing w:line="360" w:lineRule="auto"/>
        <w:ind w:firstLine="480" w:firstLineChars="200"/>
        <w:rPr>
          <w:rFonts w:ascii="宋体" w:hAnsi="宋体" w:cs="宋体"/>
          <w:color w:val="000000" w:themeColor="text1"/>
          <w:sz w:val="24"/>
          <w14:textFill>
            <w14:solidFill>
              <w14:schemeClr w14:val="tx1"/>
            </w14:solidFill>
          </w14:textFill>
        </w:rPr>
      </w:pPr>
    </w:p>
    <w:p>
      <w:pPr>
        <w:pStyle w:val="5"/>
        <w:snapToGrid w:val="0"/>
        <w:spacing w:before="0" w:after="0" w:line="360" w:lineRule="auto"/>
        <w:jc w:val="center"/>
        <w:rPr>
          <w:rFonts w:ascii="宋体" w:hAnsi="宋体" w:cs="宋体"/>
          <w:b w:val="0"/>
          <w:bCs w:val="0"/>
          <w:color w:val="000000" w:themeColor="text1"/>
          <w:sz w:val="24"/>
          <w:szCs w:val="24"/>
          <w14:textFill>
            <w14:solidFill>
              <w14:schemeClr w14:val="tx1"/>
            </w14:solidFill>
          </w14:textFill>
        </w:rPr>
      </w:pPr>
      <w:r>
        <w:rPr>
          <w:rFonts w:hint="eastAsia"/>
          <w:sz w:val="32"/>
          <w:szCs w:val="32"/>
        </w:rPr>
        <w:t>第四章  投资管理</w:t>
      </w:r>
    </w:p>
    <w:p>
      <w:pPr>
        <w:tabs>
          <w:tab w:val="left" w:pos="0"/>
        </w:tabs>
        <w:spacing w:line="360" w:lineRule="auto"/>
        <w:ind w:firstLine="481" w:firstLineChars="200"/>
        <w:rPr>
          <w:sz w:val="24"/>
        </w:rPr>
      </w:pPr>
      <w:r>
        <w:rPr>
          <w:rFonts w:hint="eastAsia"/>
          <w:b/>
          <w:bCs/>
          <w:sz w:val="24"/>
        </w:rPr>
        <w:t>第三十六条 （权力清单管理）</w:t>
      </w:r>
      <w:r>
        <w:rPr>
          <w:rFonts w:hint="eastAsia"/>
          <w:sz w:val="24"/>
        </w:rPr>
        <w:t xml:space="preserve">各级地方人民政府及其有关部门应当在公布的权力清单范围内实施外商投资管理，不得在权力清单之外违法设立或行使行政权力事项，不得自行扩大行政权力办理范围、延长办理时限、更改办理流程、增加办理条件和材料。 </w:t>
      </w:r>
    </w:p>
    <w:p>
      <w:pPr>
        <w:tabs>
          <w:tab w:val="left" w:pos="0"/>
        </w:tabs>
        <w:spacing w:line="360" w:lineRule="auto"/>
        <w:ind w:firstLine="481" w:firstLineChars="200"/>
        <w:rPr>
          <w:sz w:val="24"/>
        </w:rPr>
      </w:pPr>
      <w:r>
        <w:rPr>
          <w:rFonts w:hint="eastAsia"/>
          <w:b/>
          <w:bCs/>
          <w:sz w:val="24"/>
        </w:rPr>
        <w:t xml:space="preserve">第三十七条  (建设全国统一大市场) </w:t>
      </w:r>
      <w:r>
        <w:rPr>
          <w:rFonts w:hint="eastAsia"/>
          <w:sz w:val="24"/>
        </w:rPr>
        <w:t>境内外投资者统一适用《市场准入负面清单》的有关规定。政府有关部门应当及时清理妨碍外商投资企业依法平等准入和退出的规定，打破地方保护和市场分割，培养参与国际竞争合作新优势，加快建设高效规范、公平竞争、充分开放的全国统一大市场。</w:t>
      </w:r>
    </w:p>
    <w:p>
      <w:pPr>
        <w:tabs>
          <w:tab w:val="left" w:pos="0"/>
        </w:tabs>
        <w:spacing w:line="360" w:lineRule="auto"/>
        <w:ind w:firstLine="481" w:firstLineChars="200"/>
        <w:rPr>
          <w:sz w:val="24"/>
        </w:rPr>
      </w:pPr>
      <w:r>
        <w:rPr>
          <w:rFonts w:hint="eastAsia"/>
          <w:b/>
          <w:bCs/>
          <w:sz w:val="24"/>
        </w:rPr>
        <w:t>第三十八条 （信息登记与备案）</w:t>
      </w:r>
      <w:r>
        <w:rPr>
          <w:rFonts w:hint="eastAsia"/>
          <w:sz w:val="24"/>
        </w:rPr>
        <w:t>政府有关部门应当通过多种方式，优化外商投资审批、核准、备案与登记注册服务，提高管理效率。对符合相关条件和要求的许可事项，可以按照有关规定采取告知承诺的方式办理。</w:t>
      </w:r>
    </w:p>
    <w:p>
      <w:pPr>
        <w:tabs>
          <w:tab w:val="left" w:pos="0"/>
        </w:tabs>
        <w:spacing w:line="360" w:lineRule="auto"/>
        <w:ind w:firstLine="481" w:firstLineChars="200"/>
        <w:rPr>
          <w:sz w:val="24"/>
        </w:rPr>
      </w:pPr>
      <w:r>
        <w:rPr>
          <w:rFonts w:hint="eastAsia"/>
          <w:b/>
          <w:bCs/>
          <w:sz w:val="24"/>
        </w:rPr>
        <w:t>第三十九条 （信息报告管理）</w:t>
      </w:r>
      <w:r>
        <w:rPr>
          <w:rFonts w:hint="eastAsia"/>
          <w:sz w:val="24"/>
        </w:rPr>
        <w:t>外国投资者、外商投资企业应当通过企业登记系统以及企业信用信息公示系统，向商务主管部门报送投资信息。各级商务主管部门应当为外国投资者、外商投资企业报送投资信息提供指导。</w:t>
      </w:r>
    </w:p>
    <w:p>
      <w:pPr>
        <w:tabs>
          <w:tab w:val="left" w:pos="0"/>
        </w:tabs>
        <w:spacing w:line="360" w:lineRule="auto"/>
        <w:ind w:firstLine="480" w:firstLineChars="200"/>
        <w:rPr>
          <w:sz w:val="24"/>
        </w:rPr>
      </w:pPr>
      <w:r>
        <w:rPr>
          <w:rFonts w:hint="eastAsia"/>
          <w:sz w:val="24"/>
        </w:rPr>
        <w:t>外商投资信息报告的内容和范围按照确有必要的原则确定，能够通过部门共享获得的信息，不得再行要求报送。各级商务、市场监督管理部门应当做好相关业务系统的对接和工作衔接。</w:t>
      </w:r>
    </w:p>
    <w:p>
      <w:pPr>
        <w:tabs>
          <w:tab w:val="left" w:pos="0"/>
        </w:tabs>
        <w:spacing w:line="360" w:lineRule="auto"/>
        <w:rPr>
          <w:sz w:val="24"/>
        </w:rPr>
      </w:pPr>
      <w:r>
        <w:rPr>
          <w:sz w:val="24"/>
        </w:rPr>
        <w:tab/>
      </w:r>
      <w:r>
        <w:rPr>
          <w:rFonts w:hint="eastAsia"/>
          <w:b/>
          <w:bCs/>
          <w:sz w:val="24"/>
        </w:rPr>
        <w:t>第四十条 （合规性审查及调处机制）</w:t>
      </w:r>
      <w:r>
        <w:rPr>
          <w:rFonts w:hint="eastAsia"/>
          <w:sz w:val="24"/>
        </w:rPr>
        <w:t>市场监管、发展改革以及其他行业主管部门在依法办理外商投资审批、核准、备案与登记注册等事项时，应当履行负面清单审核和合规性监督审查职责，为外国投资者、外商投资企业提供相关咨询服务，并加强跨部门信息共享，简化办理流程。</w:t>
      </w:r>
    </w:p>
    <w:p>
      <w:pPr>
        <w:tabs>
          <w:tab w:val="left" w:pos="0"/>
        </w:tabs>
        <w:spacing w:line="360" w:lineRule="auto"/>
        <w:ind w:firstLine="481" w:firstLineChars="200"/>
        <w:rPr>
          <w:sz w:val="24"/>
        </w:rPr>
      </w:pPr>
      <w:r>
        <w:rPr>
          <w:rFonts w:hint="eastAsia"/>
          <w:b/>
          <w:bCs/>
          <w:sz w:val="24"/>
        </w:rPr>
        <w:t>第四十一条 （国家安全审查的配合义务）</w:t>
      </w:r>
      <w:r>
        <w:rPr>
          <w:rFonts w:hint="eastAsia"/>
          <w:sz w:val="24"/>
        </w:rPr>
        <w:t>各级地方人民政府有关部门应当按照国家外商投资安全审查制度和工作要求，按照委托代为收取并转送申报外商投资材料，协助监督实施外商投资安全审查决定。</w:t>
      </w:r>
    </w:p>
    <w:p>
      <w:pPr>
        <w:tabs>
          <w:tab w:val="left" w:pos="0"/>
        </w:tabs>
        <w:spacing w:line="360" w:lineRule="auto"/>
        <w:ind w:firstLine="481" w:firstLineChars="200"/>
        <w:rPr>
          <w:sz w:val="24"/>
        </w:rPr>
      </w:pPr>
      <w:r>
        <w:rPr>
          <w:rFonts w:hint="eastAsia"/>
          <w:b/>
          <w:bCs/>
          <w:sz w:val="24"/>
        </w:rPr>
        <w:t>第四十二条 （法律责任及容错）</w:t>
      </w:r>
      <w:r>
        <w:rPr>
          <w:rFonts w:hint="eastAsia"/>
          <w:sz w:val="24"/>
        </w:rPr>
        <w:t>各级地方人民政府及其有关部门在外商投资促进、保护和管理工作中不依法履行职责的，依照法律法规追究责任，对直接负责的主管人员和其他直接责任人员依法给予处分。</w:t>
      </w:r>
    </w:p>
    <w:p>
      <w:pPr>
        <w:tabs>
          <w:tab w:val="left" w:pos="0"/>
        </w:tabs>
        <w:spacing w:line="360" w:lineRule="auto"/>
        <w:ind w:firstLine="480" w:firstLineChars="200"/>
        <w:rPr>
          <w:sz w:val="24"/>
        </w:rPr>
      </w:pPr>
      <w:r>
        <w:rPr>
          <w:rFonts w:hint="eastAsia"/>
          <w:sz w:val="24"/>
          <w:lang w:eastAsia="zh-Hans"/>
        </w:rPr>
        <w:t>建立容错机制，在外资</w:t>
      </w:r>
      <w:r>
        <w:rPr>
          <w:rFonts w:hint="eastAsia"/>
          <w:sz w:val="24"/>
        </w:rPr>
        <w:t>工作</w:t>
      </w:r>
      <w:r>
        <w:rPr>
          <w:rFonts w:hint="eastAsia"/>
          <w:sz w:val="24"/>
          <w:lang w:eastAsia="zh-Hans"/>
        </w:rPr>
        <w:t>创新中出现失误，但</w:t>
      </w:r>
      <w:r>
        <w:rPr>
          <w:rFonts w:hint="eastAsia"/>
          <w:sz w:val="24"/>
        </w:rPr>
        <w:t>是</w:t>
      </w:r>
      <w:r>
        <w:rPr>
          <w:rFonts w:hint="eastAsia"/>
          <w:sz w:val="24"/>
          <w:lang w:eastAsia="zh-Hans"/>
        </w:rPr>
        <w:t>符合国家确定的改革方向，决策程序符合法律、法规规定，未牟取不正当利益，未恶意串通损害国家利益、社会公共利益的，对有关单位和个人不作负面评价，免除相关责任或者从轻、减轻处理。</w:t>
      </w:r>
    </w:p>
    <w:p>
      <w:pPr>
        <w:wordWrap w:val="0"/>
        <w:snapToGrid w:val="0"/>
        <w:spacing w:line="360" w:lineRule="auto"/>
        <w:ind w:firstLine="481" w:firstLineChars="200"/>
        <w:rPr>
          <w:rFonts w:ascii="宋体" w:hAnsi="宋体" w:cs="宋体"/>
          <w:sz w:val="24"/>
        </w:rPr>
      </w:pPr>
      <w:r>
        <w:rPr>
          <w:rFonts w:hint="eastAsia" w:ascii="宋体" w:hAnsi="宋体" w:cs="宋体"/>
          <w:b/>
          <w:bCs/>
          <w:sz w:val="24"/>
        </w:rPr>
        <w:t>第四十三条 （轻微违法不处罚）</w:t>
      </w:r>
      <w:r>
        <w:rPr>
          <w:rFonts w:hint="eastAsia" w:ascii="宋体" w:hAnsi="宋体" w:cs="宋体"/>
          <w:sz w:val="24"/>
        </w:rPr>
        <w:t>对外国投资者、外商投资企业违反法律、法规的行为，由有关部门依法查处，并按照国家有关规定纳入信用信息系统。外国投资者、外商投资企业违法行为轻微并及时纠正，没有造成危害后果的，可以</w:t>
      </w:r>
    </w:p>
    <w:p>
      <w:pPr>
        <w:wordWrap w:val="0"/>
        <w:snapToGrid w:val="0"/>
        <w:spacing w:line="360" w:lineRule="auto"/>
        <w:rPr>
          <w:rFonts w:ascii="宋体" w:hAnsi="宋体" w:cs="宋体"/>
          <w:sz w:val="24"/>
        </w:rPr>
      </w:pPr>
      <w:r>
        <w:rPr>
          <w:rFonts w:hint="eastAsia" w:ascii="宋体" w:hAnsi="宋体" w:cs="宋体"/>
          <w:sz w:val="24"/>
        </w:rPr>
        <w:t>采取约谈、教育、告诫等措施并免于行政处罚和失信约束。</w:t>
      </w:r>
    </w:p>
    <w:p>
      <w:pPr>
        <w:pStyle w:val="2"/>
        <w:ind w:firstLine="0" w:firstLineChars="0"/>
        <w:rPr>
          <w:lang w:eastAsia="zh-Hans"/>
        </w:rPr>
      </w:pPr>
    </w:p>
    <w:p>
      <w:pPr>
        <w:pStyle w:val="7"/>
        <w:spacing w:line="360" w:lineRule="auto"/>
        <w:ind w:firstLine="642" w:firstLineChars="200"/>
        <w:jc w:val="center"/>
        <w:rPr>
          <w:rFonts w:ascii="Times New Roman" w:hAnsi="Times New Roman"/>
          <w:b/>
          <w:bCs/>
          <w:sz w:val="32"/>
          <w:szCs w:val="32"/>
        </w:rPr>
      </w:pPr>
      <w:r>
        <w:rPr>
          <w:rFonts w:hint="eastAsia" w:ascii="Times New Roman" w:hAnsi="Times New Roman"/>
          <w:b/>
          <w:bCs/>
          <w:sz w:val="32"/>
          <w:szCs w:val="32"/>
        </w:rPr>
        <w:t>第五章 附则</w:t>
      </w:r>
    </w:p>
    <w:p>
      <w:pPr>
        <w:spacing w:line="520" w:lineRule="exact"/>
        <w:ind w:firstLine="481" w:firstLineChars="200"/>
        <w:rPr>
          <w:rFonts w:ascii="宋体" w:hAnsi="宋体" w:cs="宋体"/>
          <w:bCs/>
          <w:sz w:val="24"/>
        </w:rPr>
      </w:pPr>
      <w:r>
        <w:rPr>
          <w:rFonts w:hint="eastAsia" w:ascii="宋体" w:hAnsi="宋体" w:cs="宋体"/>
          <w:b/>
          <w:sz w:val="24"/>
        </w:rPr>
        <w:t xml:space="preserve">第四十四条 </w:t>
      </w:r>
      <w:r>
        <w:rPr>
          <w:rFonts w:hint="eastAsia" w:ascii="宋体" w:hAnsi="宋体" w:cs="宋体"/>
          <w:bCs/>
          <w:sz w:val="24"/>
        </w:rPr>
        <w:t>香港特别行政区、澳门特别行政区投资者在本省投资，适用《江苏省保护和促进香港澳门投资条例》的规定；《江苏省保护和促进香港澳门投资条例》</w:t>
      </w:r>
      <w:r>
        <w:rPr>
          <w:rFonts w:hint="eastAsia" w:ascii="宋体" w:hAnsi="宋体" w:cs="宋体"/>
          <w:bCs/>
          <w:kern w:val="0"/>
          <w:sz w:val="24"/>
          <w:szCs w:val="30"/>
        </w:rPr>
        <w:t>未规定的事项，</w:t>
      </w:r>
      <w:r>
        <w:rPr>
          <w:rFonts w:hint="eastAsia" w:ascii="宋体" w:hAnsi="宋体" w:cs="宋体"/>
          <w:bCs/>
          <w:sz w:val="24"/>
        </w:rPr>
        <w:t>参照本条例执行。</w:t>
      </w:r>
    </w:p>
    <w:p>
      <w:pPr>
        <w:widowControl/>
        <w:spacing w:line="480" w:lineRule="atLeast"/>
        <w:ind w:firstLine="567"/>
        <w:jc w:val="left"/>
        <w:rPr>
          <w:rFonts w:ascii="宋体" w:hAnsi="宋体" w:cs="宋体"/>
          <w:bCs/>
          <w:sz w:val="24"/>
        </w:rPr>
      </w:pPr>
      <w:r>
        <w:rPr>
          <w:rFonts w:hint="eastAsia" w:ascii="宋体" w:hAnsi="宋体" w:cs="宋体"/>
          <w:bCs/>
          <w:sz w:val="24"/>
        </w:rPr>
        <w:t>台湾地区投资者在本省投资，适用《江苏省保护和促进台湾同胞投资条例》《江苏省对台经济文化交流合作促进条例》的规定；《江苏省保护和促进台湾同胞投资条例》《江苏省对台经济文化交流合作促进条例》未规定的事项，参照本条例执行。</w:t>
      </w:r>
    </w:p>
    <w:p>
      <w:pPr>
        <w:widowControl/>
        <w:spacing w:line="480" w:lineRule="atLeast"/>
        <w:ind w:firstLine="567"/>
        <w:jc w:val="left"/>
        <w:rPr>
          <w:rFonts w:ascii="宋体" w:hAnsi="宋体" w:cs="宋体"/>
          <w:bCs/>
          <w:sz w:val="24"/>
        </w:rPr>
      </w:pPr>
      <w:r>
        <w:rPr>
          <w:rFonts w:hint="eastAsia" w:ascii="宋体" w:hAnsi="宋体" w:cs="宋体"/>
          <w:bCs/>
          <w:sz w:val="24"/>
        </w:rPr>
        <w:t>定居在国外的中国公民在本省投资，参照本条例执行。</w:t>
      </w:r>
    </w:p>
    <w:p>
      <w:pPr>
        <w:widowControl/>
        <w:spacing w:line="480" w:lineRule="atLeast"/>
        <w:ind w:firstLine="567"/>
        <w:jc w:val="left"/>
        <w:rPr>
          <w:rFonts w:ascii="宋体" w:hAnsi="宋体" w:cs="宋体"/>
          <w:bCs/>
          <w:sz w:val="24"/>
        </w:rPr>
      </w:pPr>
      <w:r>
        <w:rPr>
          <w:rFonts w:hint="eastAsia" w:ascii="宋体" w:hAnsi="宋体" w:cs="宋体"/>
          <w:bCs/>
          <w:sz w:val="24"/>
        </w:rPr>
        <w:t>法律、行政法规或者国务院另有规定的，从其规定。</w:t>
      </w:r>
    </w:p>
    <w:p>
      <w:pPr>
        <w:widowControl/>
        <w:spacing w:line="480" w:lineRule="atLeast"/>
        <w:ind w:firstLine="567"/>
        <w:jc w:val="left"/>
        <w:rPr>
          <w:rFonts w:ascii="宋体" w:hAnsi="宋体" w:cs="宋体"/>
          <w:color w:val="000000" w:themeColor="text1"/>
          <w:sz w:val="24"/>
          <w14:textFill>
            <w14:solidFill>
              <w14:schemeClr w14:val="tx1"/>
            </w14:solidFill>
          </w14:textFill>
        </w:rPr>
      </w:pPr>
      <w:r>
        <w:rPr>
          <w:rFonts w:hint="eastAsia" w:ascii="宋体" w:hAnsi="宋体" w:cs="宋体"/>
          <w:b/>
          <w:sz w:val="24"/>
        </w:rPr>
        <w:t xml:space="preserve">第四十五条 </w:t>
      </w:r>
      <w:r>
        <w:rPr>
          <w:rFonts w:hint="eastAsia" w:ascii="宋体" w:hAnsi="宋体" w:cs="宋体"/>
          <w:bCs/>
          <w:sz w:val="24"/>
        </w:rPr>
        <w:t>本条例自 年 月 日起实施。</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Helvetica Neue">
    <w:altName w:val="Times New Roman"/>
    <w:panose1 w:val="00000000000000000000"/>
    <w:charset w:val="00"/>
    <w:family w:val="auto"/>
    <w:pitch w:val="default"/>
    <w:sig w:usb0="00000000" w:usb1="00000000" w:usb2="0000001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posOffset>2594610</wp:posOffset>
              </wp:positionH>
              <wp:positionV relativeFrom="paragraph">
                <wp:posOffset>0</wp:posOffset>
              </wp:positionV>
              <wp:extent cx="218440" cy="178435"/>
              <wp:effectExtent l="0" t="0" r="0" b="0"/>
              <wp:wrapNone/>
              <wp:docPr id="2" name="文本框 2"/>
              <wp:cNvGraphicFramePr/>
              <a:graphic xmlns:a="http://schemas.openxmlformats.org/drawingml/2006/main">
                <a:graphicData uri="http://schemas.microsoft.com/office/word/2010/wordprocessingShape">
                  <wps:wsp>
                    <wps:cNvSpPr txBox="true"/>
                    <wps:spPr>
                      <a:xfrm flipH="true">
                        <a:off x="0" y="0"/>
                        <a:ext cx="218440" cy="1784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b/>
                              <w:bCs/>
                              <w:sz w:val="21"/>
                              <w:szCs w:val="32"/>
                            </w:rPr>
                          </w:pPr>
                          <w:r>
                            <w:rPr>
                              <w:b/>
                              <w:bCs/>
                              <w:sz w:val="21"/>
                              <w:szCs w:val="32"/>
                            </w:rPr>
                            <w:fldChar w:fldCharType="begin"/>
                          </w:r>
                          <w:r>
                            <w:rPr>
                              <w:b/>
                              <w:bCs/>
                              <w:sz w:val="21"/>
                              <w:szCs w:val="32"/>
                            </w:rPr>
                            <w:instrText xml:space="preserve"> PAGE  \* MERGEFORMAT </w:instrText>
                          </w:r>
                          <w:r>
                            <w:rPr>
                              <w:b/>
                              <w:bCs/>
                              <w:sz w:val="21"/>
                              <w:szCs w:val="32"/>
                            </w:rPr>
                            <w:fldChar w:fldCharType="separate"/>
                          </w:r>
                          <w:r>
                            <w:rPr>
                              <w:b/>
                              <w:bCs/>
                              <w:sz w:val="21"/>
                              <w:szCs w:val="32"/>
                            </w:rPr>
                            <w:t>5</w:t>
                          </w:r>
                          <w:r>
                            <w:rPr>
                              <w:b/>
                              <w:bCs/>
                              <w:sz w:val="21"/>
                              <w:szCs w:val="32"/>
                            </w:rPr>
                            <w:fldChar w:fldCharType="end"/>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flip:x;margin-left:204.3pt;margin-top:0pt;height:14.05pt;width:17.2pt;mso-position-horizontal-relative:margin;z-index:251659264;mso-width-relative:page;mso-height-relative:page;" filled="f" stroked="f" coordsize="21600,21600" o:gfxdata="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cNODy1gAAAAcBAAAPAAAAAAAAAAEAIAAAADgAAABkcnMvZG93bnJl&#10;di54bWxQSwECFAAUAAAACACHTuJACyqWOyICAAAmBAAADgAAAAAAAAABACAAAAA7AQAAZHJzL2Uy&#10;b0RvYy54bWxQSwUGAAAAAAYABgBZAQAAzwUAAAAA&#10;">
              <v:fill on="f" focussize="0,0"/>
              <v:stroke on="f" weight="0.5pt"/>
              <v:imagedata o:title=""/>
              <o:lock v:ext="edit" aspectratio="f"/>
              <v:textbox inset="0mm,0mm,0mm,0mm">
                <w:txbxContent>
                  <w:p>
                    <w:pPr>
                      <w:pStyle w:val="9"/>
                      <w:rPr>
                        <w:b/>
                        <w:bCs/>
                        <w:sz w:val="21"/>
                        <w:szCs w:val="32"/>
                      </w:rPr>
                    </w:pPr>
                    <w:r>
                      <w:rPr>
                        <w:b/>
                        <w:bCs/>
                        <w:sz w:val="21"/>
                        <w:szCs w:val="32"/>
                      </w:rPr>
                      <w:fldChar w:fldCharType="begin"/>
                    </w:r>
                    <w:r>
                      <w:rPr>
                        <w:b/>
                        <w:bCs/>
                        <w:sz w:val="21"/>
                        <w:szCs w:val="32"/>
                      </w:rPr>
                      <w:instrText xml:space="preserve"> PAGE  \* MERGEFORMAT </w:instrText>
                    </w:r>
                    <w:r>
                      <w:rPr>
                        <w:b/>
                        <w:bCs/>
                        <w:sz w:val="21"/>
                        <w:szCs w:val="32"/>
                      </w:rPr>
                      <w:fldChar w:fldCharType="separate"/>
                    </w:r>
                    <w:r>
                      <w:rPr>
                        <w:b/>
                        <w:bCs/>
                        <w:sz w:val="21"/>
                        <w:szCs w:val="32"/>
                      </w:rPr>
                      <w:t>5</w:t>
                    </w:r>
                    <w:r>
                      <w:rPr>
                        <w:b/>
                        <w:bCs/>
                        <w:sz w:val="21"/>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417B0"/>
    <w:multiLevelType w:val="singleLevel"/>
    <w:tmpl w:val="000417B0"/>
    <w:lvl w:ilvl="0" w:tentative="0">
      <w:start w:val="12"/>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jYWY1OGM3NDMyY2ZiM2I2MWVkZjQ2MjVhODAyODAifQ=="/>
  </w:docVars>
  <w:rsids>
    <w:rsidRoot w:val="13AB031C"/>
    <w:rsid w:val="000526BB"/>
    <w:rsid w:val="000B0253"/>
    <w:rsid w:val="000B6E0E"/>
    <w:rsid w:val="00123951"/>
    <w:rsid w:val="0017076C"/>
    <w:rsid w:val="001770A2"/>
    <w:rsid w:val="00183E34"/>
    <w:rsid w:val="00236714"/>
    <w:rsid w:val="002B7837"/>
    <w:rsid w:val="002C6B3E"/>
    <w:rsid w:val="002E7D1E"/>
    <w:rsid w:val="003152EC"/>
    <w:rsid w:val="0033415D"/>
    <w:rsid w:val="003B652D"/>
    <w:rsid w:val="004E1E3E"/>
    <w:rsid w:val="0051797D"/>
    <w:rsid w:val="00547AB4"/>
    <w:rsid w:val="00555C44"/>
    <w:rsid w:val="00592154"/>
    <w:rsid w:val="00595C1E"/>
    <w:rsid w:val="005C5462"/>
    <w:rsid w:val="006140BB"/>
    <w:rsid w:val="00674CEB"/>
    <w:rsid w:val="007823AC"/>
    <w:rsid w:val="0079059F"/>
    <w:rsid w:val="007B740B"/>
    <w:rsid w:val="00823BC1"/>
    <w:rsid w:val="008332CB"/>
    <w:rsid w:val="00837DEC"/>
    <w:rsid w:val="0086340F"/>
    <w:rsid w:val="00872D06"/>
    <w:rsid w:val="008B3303"/>
    <w:rsid w:val="008B4552"/>
    <w:rsid w:val="00936AAF"/>
    <w:rsid w:val="0094038D"/>
    <w:rsid w:val="00990B9E"/>
    <w:rsid w:val="009D6CE4"/>
    <w:rsid w:val="00A025B2"/>
    <w:rsid w:val="00A211B0"/>
    <w:rsid w:val="00A8786B"/>
    <w:rsid w:val="00BA7CB6"/>
    <w:rsid w:val="00BC4010"/>
    <w:rsid w:val="00BC6D14"/>
    <w:rsid w:val="00BD1676"/>
    <w:rsid w:val="00C6445D"/>
    <w:rsid w:val="00C85D28"/>
    <w:rsid w:val="00E42670"/>
    <w:rsid w:val="00E974F8"/>
    <w:rsid w:val="00ED6189"/>
    <w:rsid w:val="00F367DB"/>
    <w:rsid w:val="02237986"/>
    <w:rsid w:val="049327EB"/>
    <w:rsid w:val="05DA25C8"/>
    <w:rsid w:val="06C93A28"/>
    <w:rsid w:val="074A6EB4"/>
    <w:rsid w:val="077B7A08"/>
    <w:rsid w:val="07C363B5"/>
    <w:rsid w:val="089716ED"/>
    <w:rsid w:val="09557421"/>
    <w:rsid w:val="0A2A5971"/>
    <w:rsid w:val="0A4A7872"/>
    <w:rsid w:val="0A4B6655"/>
    <w:rsid w:val="0BA25F56"/>
    <w:rsid w:val="0C743400"/>
    <w:rsid w:val="0D6C4461"/>
    <w:rsid w:val="0D8E6D0D"/>
    <w:rsid w:val="0F0A4510"/>
    <w:rsid w:val="10085B0D"/>
    <w:rsid w:val="10F86F1E"/>
    <w:rsid w:val="111E18BA"/>
    <w:rsid w:val="138E06DF"/>
    <w:rsid w:val="13AB031C"/>
    <w:rsid w:val="145B093D"/>
    <w:rsid w:val="14A35479"/>
    <w:rsid w:val="14A36843"/>
    <w:rsid w:val="15C17788"/>
    <w:rsid w:val="167D3255"/>
    <w:rsid w:val="183210B8"/>
    <w:rsid w:val="194028A0"/>
    <w:rsid w:val="1A516B2E"/>
    <w:rsid w:val="1B373F76"/>
    <w:rsid w:val="1C36422E"/>
    <w:rsid w:val="1E6078AB"/>
    <w:rsid w:val="1EA20543"/>
    <w:rsid w:val="1EBF0DAF"/>
    <w:rsid w:val="1F372D38"/>
    <w:rsid w:val="20CE712B"/>
    <w:rsid w:val="213172ED"/>
    <w:rsid w:val="21FC0048"/>
    <w:rsid w:val="226E339A"/>
    <w:rsid w:val="229D5752"/>
    <w:rsid w:val="22D11097"/>
    <w:rsid w:val="22E86FC2"/>
    <w:rsid w:val="23B5115B"/>
    <w:rsid w:val="2448014D"/>
    <w:rsid w:val="25237319"/>
    <w:rsid w:val="26F76392"/>
    <w:rsid w:val="2886198F"/>
    <w:rsid w:val="2977136D"/>
    <w:rsid w:val="29D049D8"/>
    <w:rsid w:val="2B8A4B75"/>
    <w:rsid w:val="30FA6C7D"/>
    <w:rsid w:val="312F7B3F"/>
    <w:rsid w:val="31364D0B"/>
    <w:rsid w:val="329364E3"/>
    <w:rsid w:val="32C40EB2"/>
    <w:rsid w:val="32E75A7E"/>
    <w:rsid w:val="33AF6948"/>
    <w:rsid w:val="33EA3656"/>
    <w:rsid w:val="342F1837"/>
    <w:rsid w:val="34EC5FEA"/>
    <w:rsid w:val="35EF502C"/>
    <w:rsid w:val="362F3A36"/>
    <w:rsid w:val="36BD2644"/>
    <w:rsid w:val="38F7B997"/>
    <w:rsid w:val="39CA2BC5"/>
    <w:rsid w:val="3CE26655"/>
    <w:rsid w:val="3FCF245F"/>
    <w:rsid w:val="42BE3311"/>
    <w:rsid w:val="43E715B7"/>
    <w:rsid w:val="444A6219"/>
    <w:rsid w:val="446F7787"/>
    <w:rsid w:val="44E62116"/>
    <w:rsid w:val="45A64168"/>
    <w:rsid w:val="49EE6E87"/>
    <w:rsid w:val="4BCB7C3F"/>
    <w:rsid w:val="4C1C74FE"/>
    <w:rsid w:val="4C306725"/>
    <w:rsid w:val="4CA50490"/>
    <w:rsid w:val="4D890A5D"/>
    <w:rsid w:val="4DF82FB8"/>
    <w:rsid w:val="508825A3"/>
    <w:rsid w:val="51112122"/>
    <w:rsid w:val="52763515"/>
    <w:rsid w:val="53705AC5"/>
    <w:rsid w:val="53EC05FD"/>
    <w:rsid w:val="54F921F9"/>
    <w:rsid w:val="555C6928"/>
    <w:rsid w:val="56A25A40"/>
    <w:rsid w:val="57904E7E"/>
    <w:rsid w:val="58F92BFB"/>
    <w:rsid w:val="59E06DEA"/>
    <w:rsid w:val="5A99399F"/>
    <w:rsid w:val="5BB43E59"/>
    <w:rsid w:val="5C0B0959"/>
    <w:rsid w:val="5ED86C69"/>
    <w:rsid w:val="61B256D1"/>
    <w:rsid w:val="61E1214F"/>
    <w:rsid w:val="62326812"/>
    <w:rsid w:val="633578AF"/>
    <w:rsid w:val="63C81D2A"/>
    <w:rsid w:val="64D8544F"/>
    <w:rsid w:val="65354639"/>
    <w:rsid w:val="65385EEE"/>
    <w:rsid w:val="65B75B1D"/>
    <w:rsid w:val="668F2FEE"/>
    <w:rsid w:val="66A6339B"/>
    <w:rsid w:val="67070F3A"/>
    <w:rsid w:val="6768714B"/>
    <w:rsid w:val="6A810EBD"/>
    <w:rsid w:val="6B2D7B77"/>
    <w:rsid w:val="6C1333FF"/>
    <w:rsid w:val="6C951E77"/>
    <w:rsid w:val="6D8A12B0"/>
    <w:rsid w:val="6E6D023B"/>
    <w:rsid w:val="6ED076BE"/>
    <w:rsid w:val="7027728A"/>
    <w:rsid w:val="70915D09"/>
    <w:rsid w:val="716D3430"/>
    <w:rsid w:val="71832F8D"/>
    <w:rsid w:val="71861BFB"/>
    <w:rsid w:val="727E6F0A"/>
    <w:rsid w:val="734168B5"/>
    <w:rsid w:val="740D7FCF"/>
    <w:rsid w:val="76B346EE"/>
    <w:rsid w:val="77E92CBF"/>
    <w:rsid w:val="78A448DC"/>
    <w:rsid w:val="7A2B4C9B"/>
    <w:rsid w:val="7B75092A"/>
    <w:rsid w:val="7F113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next w:val="4"/>
    <w:semiHidden/>
    <w:unhideWhenUsed/>
    <w:qFormat/>
    <w:uiPriority w:val="99"/>
    <w:pPr>
      <w:spacing w:after="120"/>
    </w:pPr>
  </w:style>
  <w:style w:type="paragraph" w:styleId="4">
    <w:name w:val="Title"/>
    <w:basedOn w:val="1"/>
    <w:next w:val="1"/>
    <w:qFormat/>
    <w:uiPriority w:val="0"/>
    <w:pPr>
      <w:spacing w:before="240" w:after="60"/>
      <w:jc w:val="center"/>
      <w:outlineLvl w:val="0"/>
    </w:pPr>
    <w:rPr>
      <w:rFonts w:ascii="Cambria" w:hAnsi="Cambria" w:eastAsia="Times New Roman"/>
      <w:b/>
      <w:bCs/>
      <w:szCs w:val="32"/>
    </w:rPr>
  </w:style>
  <w:style w:type="paragraph" w:styleId="6">
    <w:name w:val="annotation text"/>
    <w:basedOn w:val="1"/>
    <w:qFormat/>
    <w:uiPriority w:val="0"/>
    <w:pPr>
      <w:jc w:val="left"/>
    </w:pPr>
  </w:style>
  <w:style w:type="paragraph" w:styleId="7">
    <w:name w:val="Plain Text"/>
    <w:basedOn w:val="1"/>
    <w:qFormat/>
    <w:uiPriority w:val="0"/>
    <w:rPr>
      <w:rFonts w:ascii="宋体" w:hAnsi="Courier New"/>
    </w:rPr>
  </w:style>
  <w:style w:type="paragraph" w:styleId="8">
    <w:name w:val="Balloon Text"/>
    <w:basedOn w:val="1"/>
    <w:link w:val="1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kern w:val="0"/>
      <w:sz w:val="24"/>
    </w:rPr>
  </w:style>
  <w:style w:type="character" w:styleId="14">
    <w:name w:val="Hyperlink"/>
    <w:basedOn w:val="13"/>
    <w:qFormat/>
    <w:uiPriority w:val="0"/>
    <w:rPr>
      <w:color w:val="0563C1" w:themeColor="hyperlink"/>
      <w:u w:val="single"/>
      <w14:textFill>
        <w14:solidFill>
          <w14:schemeClr w14:val="hlink"/>
        </w14:solidFill>
      </w14:textFill>
    </w:rPr>
  </w:style>
  <w:style w:type="character" w:customStyle="1" w:styleId="15">
    <w:name w:val="a"/>
    <w:basedOn w:val="13"/>
    <w:qFormat/>
    <w:uiPriority w:val="0"/>
    <w:rPr>
      <w:color w:val="218FC4"/>
    </w:rPr>
  </w:style>
  <w:style w:type="character" w:customStyle="1" w:styleId="16">
    <w:name w:val="navtiao"/>
    <w:basedOn w:val="13"/>
    <w:qFormat/>
    <w:uiPriority w:val="0"/>
    <w:rPr>
      <w:b/>
      <w:bCs/>
    </w:rPr>
  </w:style>
  <w:style w:type="character" w:customStyle="1" w:styleId="17">
    <w:name w:val="批注框文本 Char"/>
    <w:basedOn w:val="13"/>
    <w:link w:val="8"/>
    <w:qFormat/>
    <w:uiPriority w:val="0"/>
    <w:rPr>
      <w:kern w:val="2"/>
      <w:sz w:val="18"/>
      <w:szCs w:val="18"/>
    </w:rPr>
  </w:style>
  <w:style w:type="paragraph" w:customStyle="1" w:styleId="1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9">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20">
    <w:name w:val="修订3"/>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1031</Words>
  <Characters>5880</Characters>
  <Lines>49</Lines>
  <Paragraphs>13</Paragraphs>
  <TotalTime>105</TotalTime>
  <ScaleCrop>false</ScaleCrop>
  <LinksUpToDate>false</LinksUpToDate>
  <CharactersWithSpaces>6898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2022-06-05T14:05:00Z</dcterms:created>
  <dc:creator>SM</dc:creator>
  <cp:lastModifiedBy>kylin</cp:lastModifiedBy>
  <dcterms:modified xsi:type="dcterms:W3CDTF">2022-10-11T16:53:59Z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7594F08FFF5647229D7D6BF68637BE1F</vt:lpwstr>
  </property>
</Properties>
</file>